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1D4" w:rsidRDefault="004371D4" w:rsidP="004371D4">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4371D4" w:rsidRDefault="004371D4" w:rsidP="004371D4">
      <w:pPr>
        <w:spacing w:after="280" w:line="240" w:lineRule="auto"/>
        <w:jc w:val="center"/>
        <w:rPr>
          <w:rFonts w:ascii="Times New Roman" w:eastAsia="Times New Roman" w:hAnsi="Times New Roman"/>
          <w:b/>
          <w:sz w:val="20"/>
          <w:szCs w:val="20"/>
          <w:u w:val="single"/>
        </w:rPr>
      </w:pPr>
      <w:r>
        <w:rPr>
          <w:rFonts w:ascii="Times New Roman" w:eastAsia="Times New Roman" w:hAnsi="Times New Roman"/>
          <w:sz w:val="20"/>
          <w:szCs w:val="20"/>
        </w:rPr>
        <w:t xml:space="preserve">технічних та якісних характеристик </w:t>
      </w:r>
      <w:r>
        <w:rPr>
          <w:rFonts w:ascii="Times New Roman" w:eastAsia="Times New Roman" w:hAnsi="Times New Roman"/>
          <w:b/>
          <w:sz w:val="20"/>
          <w:szCs w:val="20"/>
        </w:rPr>
        <w:t xml:space="preserve">закупівлі електричної енергії, </w:t>
      </w:r>
      <w:r>
        <w:rPr>
          <w:rFonts w:ascii="Times New Roman" w:eastAsia="Times New Roman" w:hAnsi="Times New Roman"/>
          <w:sz w:val="20"/>
          <w:szCs w:val="20"/>
        </w:rPr>
        <w:t>розміру бюджетного призначення, очікуваної вартості предмета закупівлі</w:t>
      </w:r>
    </w:p>
    <w:p w:rsidR="004371D4" w:rsidRDefault="004371D4" w:rsidP="004371D4">
      <w:pPr>
        <w:spacing w:before="280" w:after="280" w:line="240" w:lineRule="auto"/>
        <w:jc w:val="center"/>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rsidR="004371D4" w:rsidRDefault="004371D4" w:rsidP="004371D4">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Управління Служби безпеки України в Чернівецькій області, 20001786.</w:t>
      </w:r>
    </w:p>
    <w:p w:rsidR="004371D4" w:rsidRDefault="004371D4" w:rsidP="004371D4">
      <w:pPr>
        <w:spacing w:before="280" w:after="280" w:line="240" w:lineRule="auto"/>
        <w:jc w:val="both"/>
        <w:rPr>
          <w:rFonts w:ascii="Times New Roman" w:eastAsia="Times New Roman" w:hAnsi="Times New Roman"/>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Електрична енергія (ДК 021:2015 – 09310000-5 «Електрична енергія»). </w:t>
      </w:r>
    </w:p>
    <w:p w:rsidR="004371D4" w:rsidRDefault="004371D4" w:rsidP="004371D4">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sidR="008C0B1E" w:rsidRPr="008C0B1E">
        <w:rPr>
          <w:rFonts w:ascii="Times New Roman" w:eastAsia="Times New Roman" w:hAnsi="Times New Roman"/>
          <w:sz w:val="20"/>
          <w:szCs w:val="20"/>
        </w:rPr>
        <w:t>UA-2023-11-08-010958-a</w:t>
      </w:r>
      <w:r>
        <w:rPr>
          <w:rFonts w:ascii="Times New Roman" w:eastAsia="Times New Roman" w:hAnsi="Times New Roman"/>
          <w:sz w:val="20"/>
          <w:szCs w:val="20"/>
        </w:rPr>
        <w:t>.</w:t>
      </w:r>
    </w:p>
    <w:p w:rsidR="008C0B1E" w:rsidRDefault="004371D4" w:rsidP="004371D4">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8C0B1E">
        <w:rPr>
          <w:rFonts w:ascii="Times New Roman" w:eastAsia="Times New Roman" w:hAnsi="Times New Roman"/>
          <w:sz w:val="20"/>
          <w:szCs w:val="20"/>
        </w:rPr>
        <w:t xml:space="preserve">414581,00 </w:t>
      </w:r>
      <w:r>
        <w:rPr>
          <w:rFonts w:ascii="Times New Roman" w:eastAsia="Times New Roman" w:hAnsi="Times New Roman"/>
          <w:sz w:val="20"/>
          <w:szCs w:val="20"/>
        </w:rPr>
        <w:t xml:space="preserve">грн. </w:t>
      </w:r>
    </w:p>
    <w:p w:rsidR="004371D4" w:rsidRDefault="004371D4" w:rsidP="004371D4">
      <w:pPr>
        <w:spacing w:before="280" w:after="280" w:line="240" w:lineRule="auto"/>
        <w:jc w:val="both"/>
        <w:rPr>
          <w:rFonts w:ascii="Times New Roman" w:eastAsia="Times New Roman" w:hAnsi="Times New Roman"/>
          <w:sz w:val="20"/>
          <w:szCs w:val="20"/>
        </w:rPr>
      </w:pPr>
      <w:r w:rsidRPr="004371D4">
        <w:rPr>
          <w:rFonts w:ascii="Times New Roman" w:eastAsia="Times New Roman" w:hAnsi="Times New Roman"/>
          <w:sz w:val="20"/>
          <w:szCs w:val="20"/>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Визначення очікуваної вартості предмета закупівлі здійснювалося із застосуванням одного з методів вищевказаного порядку, а саме шляхом моніторингу цін, пошуку, збору та аналізу загальнодоступної інформації про ціни, що містяться в мережі інтернет у відкритому доступі, зокрема, в електронній системі закупівель "</w:t>
      </w:r>
      <w:r w:rsidRPr="004371D4">
        <w:rPr>
          <w:rFonts w:ascii="Times New Roman" w:eastAsia="Times New Roman" w:hAnsi="Times New Roman"/>
          <w:sz w:val="20"/>
          <w:szCs w:val="20"/>
          <w:lang w:val="ru-RU"/>
        </w:rPr>
        <w:t>Prozorro</w:t>
      </w:r>
      <w:r w:rsidRPr="004371D4">
        <w:rPr>
          <w:rFonts w:ascii="Times New Roman" w:eastAsia="Times New Roman" w:hAnsi="Times New Roman"/>
          <w:sz w:val="20"/>
          <w:szCs w:val="20"/>
        </w:rPr>
        <w:t>" (посилання на ідентифікатор закупівлі вказано в табличці).</w:t>
      </w:r>
    </w:p>
    <w:tbl>
      <w:tblPr>
        <w:tblpPr w:leftFromText="180" w:rightFromText="180" w:vertAnchor="text" w:horzAnchor="margin" w:tblpXSpec="center" w:tblpY="1"/>
        <w:tblW w:w="5054" w:type="pct"/>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48"/>
        <w:gridCol w:w="1472"/>
        <w:gridCol w:w="2089"/>
        <w:gridCol w:w="1035"/>
        <w:gridCol w:w="687"/>
        <w:gridCol w:w="1239"/>
        <w:gridCol w:w="1570"/>
        <w:gridCol w:w="1387"/>
      </w:tblGrid>
      <w:tr w:rsidR="004371D4" w:rsidRPr="00FC10E1" w:rsidTr="008C0B1E">
        <w:trPr>
          <w:trHeight w:hRule="exact" w:val="1418"/>
          <w:tblCellSpacing w:w="0" w:type="dxa"/>
          <w:jc w:val="center"/>
        </w:trPr>
        <w:tc>
          <w:tcPr>
            <w:tcW w:w="127"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 з/п</w:t>
            </w:r>
          </w:p>
        </w:tc>
        <w:tc>
          <w:tcPr>
            <w:tcW w:w="757"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Ідентифікатор закупівлі</w:t>
            </w:r>
          </w:p>
        </w:tc>
        <w:tc>
          <w:tcPr>
            <w:tcW w:w="1074"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Учасник закупівлі</w:t>
            </w:r>
          </w:p>
        </w:tc>
        <w:tc>
          <w:tcPr>
            <w:tcW w:w="532"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Пропозиція, грн</w:t>
            </w:r>
          </w:p>
        </w:tc>
        <w:tc>
          <w:tcPr>
            <w:tcW w:w="353"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Об’єм, квт</w:t>
            </w:r>
          </w:p>
        </w:tc>
        <w:tc>
          <w:tcPr>
            <w:tcW w:w="637"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Запропонована вартість за квт, грн</w:t>
            </w:r>
          </w:p>
        </w:tc>
        <w:tc>
          <w:tcPr>
            <w:tcW w:w="807"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Вартість з послуги з розподілу 1 квт з 1 січня 2021 року згідно постанови НКРЕКП від 09.12.2020 № 2355, грн</w:t>
            </w:r>
          </w:p>
        </w:tc>
        <w:tc>
          <w:tcPr>
            <w:tcW w:w="713"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Запропонована вартість за квт без урахування вартості послуг з розподілу, грн</w:t>
            </w:r>
          </w:p>
        </w:tc>
      </w:tr>
      <w:tr w:rsidR="004371D4" w:rsidRPr="00FC10E1" w:rsidTr="008C0B1E">
        <w:trPr>
          <w:trHeight w:hRule="exact" w:val="567"/>
          <w:tblCellSpacing w:w="0" w:type="dxa"/>
          <w:jc w:val="center"/>
        </w:trPr>
        <w:tc>
          <w:tcPr>
            <w:tcW w:w="127" w:type="pct"/>
            <w:tcBorders>
              <w:bottom w:val="single" w:sz="4" w:space="0" w:color="auto"/>
            </w:tcBorders>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1</w:t>
            </w:r>
          </w:p>
        </w:tc>
        <w:tc>
          <w:tcPr>
            <w:tcW w:w="757" w:type="pct"/>
            <w:tcBorders>
              <w:bottom w:val="single" w:sz="4" w:space="0" w:color="auto"/>
            </w:tcBorders>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333333"/>
                <w:sz w:val="18"/>
                <w:szCs w:val="18"/>
                <w:shd w:val="clear" w:color="auto" w:fill="FFFFFF"/>
              </w:rPr>
              <w:t>UA-2023-10-25-003073-a</w:t>
            </w:r>
          </w:p>
        </w:tc>
        <w:tc>
          <w:tcPr>
            <w:tcW w:w="1074"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ТОВ НІК ЕНЕРГО СТАНДАРТ</w:t>
            </w:r>
          </w:p>
        </w:tc>
        <w:tc>
          <w:tcPr>
            <w:tcW w:w="532"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236640,00</w:t>
            </w:r>
          </w:p>
        </w:tc>
        <w:tc>
          <w:tcPr>
            <w:tcW w:w="353"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34000</w:t>
            </w:r>
          </w:p>
        </w:tc>
        <w:tc>
          <w:tcPr>
            <w:tcW w:w="637"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6,96</w:t>
            </w:r>
          </w:p>
        </w:tc>
        <w:tc>
          <w:tcPr>
            <w:tcW w:w="807"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 xml:space="preserve">Оплата послуг з </w:t>
            </w:r>
            <w:r w:rsidRPr="002E1D23">
              <w:rPr>
                <w:rFonts w:ascii="Times New Roman" w:hAnsi="Times New Roman"/>
                <w:color w:val="000000"/>
                <w:sz w:val="18"/>
                <w:szCs w:val="18"/>
              </w:rPr>
              <w:br/>
              <w:t>розподілу виключена</w:t>
            </w:r>
          </w:p>
        </w:tc>
        <w:tc>
          <w:tcPr>
            <w:tcW w:w="713"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6,96</w:t>
            </w:r>
          </w:p>
        </w:tc>
      </w:tr>
      <w:tr w:rsidR="004371D4" w:rsidRPr="00FC10E1" w:rsidTr="008C0B1E">
        <w:trPr>
          <w:trHeight w:hRule="exact" w:val="1134"/>
          <w:tblCellSpacing w:w="0" w:type="dxa"/>
          <w:jc w:val="center"/>
        </w:trPr>
        <w:tc>
          <w:tcPr>
            <w:tcW w:w="127" w:type="pct"/>
            <w:vMerge w:val="restar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2</w:t>
            </w:r>
          </w:p>
        </w:tc>
        <w:tc>
          <w:tcPr>
            <w:tcW w:w="757" w:type="pct"/>
            <w:vMerge w:val="restar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333333"/>
                <w:sz w:val="18"/>
                <w:szCs w:val="18"/>
                <w:shd w:val="clear" w:color="auto" w:fill="FFFFFF"/>
              </w:rPr>
              <w:t>UA-2023-10-11-014615-a</w:t>
            </w:r>
          </w:p>
        </w:tc>
        <w:tc>
          <w:tcPr>
            <w:tcW w:w="1074"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ТОВАРИСТВО З ОБМЕЖЕНОЮ ВІДПОВІДАЛЬНІСТЮ "ЄВРО ТРЕЙД ЕНЕРДЖІ"</w:t>
            </w:r>
          </w:p>
        </w:tc>
        <w:tc>
          <w:tcPr>
            <w:tcW w:w="532"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303330,30</w:t>
            </w:r>
          </w:p>
        </w:tc>
        <w:tc>
          <w:tcPr>
            <w:tcW w:w="353"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55555</w:t>
            </w:r>
          </w:p>
        </w:tc>
        <w:tc>
          <w:tcPr>
            <w:tcW w:w="637"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5,46</w:t>
            </w:r>
          </w:p>
        </w:tc>
        <w:tc>
          <w:tcPr>
            <w:tcW w:w="807"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 xml:space="preserve">Оплата послуг з </w:t>
            </w:r>
            <w:r w:rsidRPr="002E1D23">
              <w:rPr>
                <w:rFonts w:ascii="Times New Roman" w:hAnsi="Times New Roman"/>
                <w:color w:val="000000"/>
                <w:sz w:val="18"/>
                <w:szCs w:val="18"/>
              </w:rPr>
              <w:br/>
              <w:t>розподілу виключена</w:t>
            </w:r>
          </w:p>
        </w:tc>
        <w:tc>
          <w:tcPr>
            <w:tcW w:w="713"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5,46</w:t>
            </w:r>
          </w:p>
        </w:tc>
      </w:tr>
      <w:tr w:rsidR="004371D4" w:rsidRPr="00FC10E1" w:rsidTr="008C0B1E">
        <w:trPr>
          <w:trHeight w:hRule="exact" w:val="958"/>
          <w:tblCellSpacing w:w="0" w:type="dxa"/>
          <w:jc w:val="center"/>
        </w:trPr>
        <w:tc>
          <w:tcPr>
            <w:tcW w:w="127" w:type="pct"/>
            <w:vMerge/>
            <w:tcBorders>
              <w:bottom w:val="single" w:sz="4" w:space="0" w:color="auto"/>
            </w:tcBorders>
            <w:vAlign w:val="center"/>
          </w:tcPr>
          <w:p w:rsidR="004371D4" w:rsidRPr="002E1D23" w:rsidRDefault="004371D4" w:rsidP="004371D4">
            <w:pPr>
              <w:jc w:val="center"/>
              <w:rPr>
                <w:rFonts w:ascii="Times New Roman" w:hAnsi="Times New Roman"/>
                <w:color w:val="000000"/>
                <w:sz w:val="18"/>
                <w:szCs w:val="18"/>
              </w:rPr>
            </w:pPr>
          </w:p>
        </w:tc>
        <w:tc>
          <w:tcPr>
            <w:tcW w:w="757" w:type="pct"/>
            <w:vMerge/>
            <w:tcBorders>
              <w:bottom w:val="single" w:sz="4" w:space="0" w:color="auto"/>
            </w:tcBorders>
            <w:vAlign w:val="center"/>
          </w:tcPr>
          <w:p w:rsidR="004371D4" w:rsidRPr="002E1D23" w:rsidRDefault="004371D4" w:rsidP="004371D4">
            <w:pPr>
              <w:jc w:val="center"/>
              <w:rPr>
                <w:rFonts w:ascii="Times New Roman" w:hAnsi="Times New Roman"/>
                <w:color w:val="000000"/>
                <w:sz w:val="18"/>
                <w:szCs w:val="18"/>
              </w:rPr>
            </w:pPr>
          </w:p>
        </w:tc>
        <w:tc>
          <w:tcPr>
            <w:tcW w:w="1074" w:type="pct"/>
            <w:tcBorders>
              <w:bottom w:val="single" w:sz="4" w:space="0" w:color="auto"/>
            </w:tcBorders>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ТОВАРИСТВО З ОБМЕЖЕНОЮ ВІДПОВІДАЛЬНІСТЮ "ГАЗЕНЕРГО-ТРЕЙД"</w:t>
            </w:r>
          </w:p>
        </w:tc>
        <w:tc>
          <w:tcPr>
            <w:tcW w:w="532"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319996,80</w:t>
            </w:r>
          </w:p>
        </w:tc>
        <w:tc>
          <w:tcPr>
            <w:tcW w:w="353"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55555</w:t>
            </w:r>
          </w:p>
        </w:tc>
        <w:tc>
          <w:tcPr>
            <w:tcW w:w="637"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5,76</w:t>
            </w:r>
          </w:p>
        </w:tc>
        <w:tc>
          <w:tcPr>
            <w:tcW w:w="807"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 xml:space="preserve">Оплата послуг з </w:t>
            </w:r>
            <w:r w:rsidRPr="002E1D23">
              <w:rPr>
                <w:rFonts w:ascii="Times New Roman" w:hAnsi="Times New Roman"/>
                <w:color w:val="000000"/>
                <w:sz w:val="18"/>
                <w:szCs w:val="18"/>
              </w:rPr>
              <w:br/>
              <w:t>розподілу виключена</w:t>
            </w:r>
          </w:p>
        </w:tc>
        <w:tc>
          <w:tcPr>
            <w:tcW w:w="713"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5,76</w:t>
            </w:r>
          </w:p>
        </w:tc>
      </w:tr>
      <w:tr w:rsidR="004371D4" w:rsidRPr="00FC10E1" w:rsidTr="008C0B1E">
        <w:trPr>
          <w:trHeight w:hRule="exact" w:val="946"/>
          <w:tblCellSpacing w:w="0" w:type="dxa"/>
          <w:jc w:val="center"/>
        </w:trPr>
        <w:tc>
          <w:tcPr>
            <w:tcW w:w="127" w:type="pct"/>
            <w:vMerge w:val="restar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3</w:t>
            </w:r>
          </w:p>
        </w:tc>
        <w:tc>
          <w:tcPr>
            <w:tcW w:w="757" w:type="pct"/>
            <w:vMerge w:val="restar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UA-2023-10-27-007963-a</w:t>
            </w:r>
          </w:p>
        </w:tc>
        <w:tc>
          <w:tcPr>
            <w:tcW w:w="1074" w:type="pct"/>
            <w:shd w:val="clear" w:color="auto" w:fill="auto"/>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ТОВАРИСТВО З ОБМЕЖЕНОЮ ВІДПОВІДАЛЬНІСТЮ "ТВІЙ ГАЗЗБУТ"</w:t>
            </w:r>
          </w:p>
        </w:tc>
        <w:tc>
          <w:tcPr>
            <w:tcW w:w="532" w:type="pct"/>
            <w:vAlign w:val="center"/>
          </w:tcPr>
          <w:p w:rsidR="004371D4" w:rsidRPr="002E1D23" w:rsidRDefault="004371D4" w:rsidP="004371D4">
            <w:pPr>
              <w:jc w:val="center"/>
              <w:rPr>
                <w:rFonts w:ascii="Times New Roman" w:hAnsi="Times New Roman"/>
                <w:color w:val="000000"/>
                <w:sz w:val="18"/>
                <w:szCs w:val="18"/>
                <w:highlight w:val="red"/>
              </w:rPr>
            </w:pPr>
            <w:r w:rsidRPr="002E1D23">
              <w:rPr>
                <w:rFonts w:ascii="Times New Roman" w:hAnsi="Times New Roman"/>
                <w:color w:val="000000"/>
                <w:sz w:val="18"/>
                <w:szCs w:val="18"/>
              </w:rPr>
              <w:t>1350000,00</w:t>
            </w:r>
          </w:p>
        </w:tc>
        <w:tc>
          <w:tcPr>
            <w:tcW w:w="353"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225000</w:t>
            </w:r>
          </w:p>
        </w:tc>
        <w:tc>
          <w:tcPr>
            <w:tcW w:w="637"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6,00</w:t>
            </w:r>
          </w:p>
        </w:tc>
        <w:tc>
          <w:tcPr>
            <w:tcW w:w="807"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 xml:space="preserve">Оплата послуг з </w:t>
            </w:r>
            <w:r w:rsidRPr="002E1D23">
              <w:rPr>
                <w:rFonts w:ascii="Times New Roman" w:hAnsi="Times New Roman"/>
                <w:color w:val="000000"/>
                <w:sz w:val="18"/>
                <w:szCs w:val="18"/>
              </w:rPr>
              <w:br/>
              <w:t>розподілу виключена</w:t>
            </w:r>
          </w:p>
        </w:tc>
        <w:tc>
          <w:tcPr>
            <w:tcW w:w="713"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6,00</w:t>
            </w:r>
          </w:p>
        </w:tc>
      </w:tr>
      <w:tr w:rsidR="004371D4" w:rsidRPr="00FC10E1" w:rsidTr="008C0B1E">
        <w:trPr>
          <w:trHeight w:hRule="exact" w:val="705"/>
          <w:tblCellSpacing w:w="0" w:type="dxa"/>
          <w:jc w:val="center"/>
        </w:trPr>
        <w:tc>
          <w:tcPr>
            <w:tcW w:w="127" w:type="pct"/>
            <w:vMerge/>
            <w:vAlign w:val="center"/>
          </w:tcPr>
          <w:p w:rsidR="004371D4" w:rsidRPr="002E1D23" w:rsidRDefault="004371D4" w:rsidP="004371D4">
            <w:pPr>
              <w:jc w:val="center"/>
              <w:rPr>
                <w:rFonts w:ascii="Times New Roman" w:hAnsi="Times New Roman"/>
                <w:color w:val="000000"/>
                <w:sz w:val="18"/>
                <w:szCs w:val="18"/>
              </w:rPr>
            </w:pPr>
          </w:p>
        </w:tc>
        <w:tc>
          <w:tcPr>
            <w:tcW w:w="757" w:type="pct"/>
            <w:vMerge/>
            <w:vAlign w:val="center"/>
          </w:tcPr>
          <w:p w:rsidR="004371D4" w:rsidRPr="002E1D23" w:rsidRDefault="004371D4" w:rsidP="004371D4">
            <w:pPr>
              <w:jc w:val="center"/>
              <w:rPr>
                <w:rFonts w:ascii="Times New Roman" w:hAnsi="Times New Roman"/>
                <w:color w:val="000000"/>
                <w:sz w:val="18"/>
                <w:szCs w:val="18"/>
              </w:rPr>
            </w:pPr>
          </w:p>
        </w:tc>
        <w:tc>
          <w:tcPr>
            <w:tcW w:w="1074" w:type="pct"/>
            <w:shd w:val="clear" w:color="auto" w:fill="auto"/>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ДЕРЖАВНЕ ПІДПРИЄМСТВО "ІНФОТЕХ"</w:t>
            </w:r>
          </w:p>
        </w:tc>
        <w:tc>
          <w:tcPr>
            <w:tcW w:w="532"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1393200,00</w:t>
            </w:r>
          </w:p>
        </w:tc>
        <w:tc>
          <w:tcPr>
            <w:tcW w:w="353"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225000</w:t>
            </w:r>
          </w:p>
        </w:tc>
        <w:tc>
          <w:tcPr>
            <w:tcW w:w="637"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6,19</w:t>
            </w:r>
          </w:p>
        </w:tc>
        <w:tc>
          <w:tcPr>
            <w:tcW w:w="807"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 xml:space="preserve">Оплата послуг з </w:t>
            </w:r>
            <w:r w:rsidRPr="002E1D23">
              <w:rPr>
                <w:rFonts w:ascii="Times New Roman" w:hAnsi="Times New Roman"/>
                <w:color w:val="000000"/>
                <w:sz w:val="18"/>
                <w:szCs w:val="18"/>
              </w:rPr>
              <w:br/>
              <w:t>розподілу в</w:t>
            </w:r>
            <w:r>
              <w:rPr>
                <w:rFonts w:ascii="Times New Roman" w:hAnsi="Times New Roman"/>
                <w:color w:val="000000"/>
                <w:sz w:val="18"/>
                <w:szCs w:val="18"/>
              </w:rPr>
              <w:t>и</w:t>
            </w:r>
            <w:r w:rsidRPr="002E1D23">
              <w:rPr>
                <w:rFonts w:ascii="Times New Roman" w:hAnsi="Times New Roman"/>
                <w:color w:val="000000"/>
                <w:sz w:val="18"/>
                <w:szCs w:val="18"/>
              </w:rPr>
              <w:t>ключена</w:t>
            </w:r>
          </w:p>
        </w:tc>
        <w:tc>
          <w:tcPr>
            <w:tcW w:w="713"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6,19</w:t>
            </w:r>
          </w:p>
        </w:tc>
      </w:tr>
      <w:tr w:rsidR="004371D4" w:rsidRPr="00FC10E1" w:rsidTr="008C0B1E">
        <w:trPr>
          <w:trHeight w:val="175"/>
          <w:tblCellSpacing w:w="0" w:type="dxa"/>
          <w:jc w:val="center"/>
        </w:trPr>
        <w:tc>
          <w:tcPr>
            <w:tcW w:w="4287" w:type="pct"/>
            <w:gridSpan w:val="7"/>
            <w:vAlign w:val="center"/>
          </w:tcPr>
          <w:p w:rsidR="004371D4" w:rsidRPr="002E1D23" w:rsidRDefault="004371D4" w:rsidP="004371D4">
            <w:pPr>
              <w:rPr>
                <w:rFonts w:ascii="Times New Roman" w:hAnsi="Times New Roman"/>
                <w:b/>
                <w:color w:val="000000"/>
                <w:sz w:val="18"/>
                <w:szCs w:val="18"/>
              </w:rPr>
            </w:pPr>
            <w:r w:rsidRPr="002E1D23">
              <w:rPr>
                <w:rFonts w:ascii="Times New Roman" w:hAnsi="Times New Roman"/>
                <w:b/>
                <w:color w:val="000000"/>
                <w:sz w:val="18"/>
                <w:szCs w:val="18"/>
              </w:rPr>
              <w:t xml:space="preserve">Середня вартість згідно тендерних пропозицій за </w:t>
            </w:r>
            <w:r>
              <w:rPr>
                <w:rFonts w:ascii="Times New Roman" w:hAnsi="Times New Roman"/>
                <w:b/>
                <w:color w:val="000000"/>
                <w:sz w:val="18"/>
                <w:szCs w:val="18"/>
              </w:rPr>
              <w:t>жовтень</w:t>
            </w:r>
            <w:r w:rsidRPr="002E1D23">
              <w:rPr>
                <w:rFonts w:ascii="Times New Roman" w:hAnsi="Times New Roman"/>
                <w:b/>
                <w:color w:val="000000"/>
                <w:sz w:val="18"/>
                <w:szCs w:val="18"/>
              </w:rPr>
              <w:t xml:space="preserve"> 202</w:t>
            </w:r>
            <w:r>
              <w:rPr>
                <w:rFonts w:ascii="Times New Roman" w:hAnsi="Times New Roman"/>
                <w:b/>
                <w:color w:val="000000"/>
                <w:sz w:val="18"/>
                <w:szCs w:val="18"/>
              </w:rPr>
              <w:t>3</w:t>
            </w:r>
            <w:r w:rsidRPr="002E1D23">
              <w:rPr>
                <w:rFonts w:ascii="Times New Roman" w:hAnsi="Times New Roman"/>
                <w:b/>
                <w:color w:val="000000"/>
                <w:sz w:val="18"/>
                <w:szCs w:val="18"/>
              </w:rPr>
              <w:t xml:space="preserve"> року</w:t>
            </w:r>
          </w:p>
        </w:tc>
        <w:tc>
          <w:tcPr>
            <w:tcW w:w="713" w:type="pct"/>
            <w:vAlign w:val="center"/>
          </w:tcPr>
          <w:p w:rsidR="004371D4" w:rsidRPr="002E1D23" w:rsidRDefault="004371D4" w:rsidP="004371D4">
            <w:pPr>
              <w:jc w:val="center"/>
              <w:rPr>
                <w:rFonts w:ascii="Times New Roman" w:hAnsi="Times New Roman"/>
                <w:color w:val="000000"/>
                <w:sz w:val="18"/>
                <w:szCs w:val="18"/>
              </w:rPr>
            </w:pPr>
            <w:r w:rsidRPr="002E1D23">
              <w:rPr>
                <w:rFonts w:ascii="Times New Roman" w:hAnsi="Times New Roman"/>
                <w:color w:val="000000"/>
                <w:sz w:val="18"/>
                <w:szCs w:val="18"/>
              </w:rPr>
              <w:t>6,07</w:t>
            </w:r>
          </w:p>
        </w:tc>
      </w:tr>
    </w:tbl>
    <w:p w:rsidR="008C0B1E" w:rsidRPr="008C0B1E" w:rsidRDefault="008C0B1E" w:rsidP="008C0B1E">
      <w:pPr>
        <w:pStyle w:val="a3"/>
        <w:tabs>
          <w:tab w:val="left" w:pos="993"/>
        </w:tabs>
        <w:spacing w:after="0" w:line="240" w:lineRule="auto"/>
        <w:ind w:left="0"/>
        <w:jc w:val="both"/>
        <w:rPr>
          <w:rFonts w:ascii="Times New Roman" w:hAnsi="Times New Roman"/>
          <w:sz w:val="20"/>
          <w:szCs w:val="20"/>
        </w:rPr>
      </w:pPr>
      <w:r w:rsidRPr="008C0B1E">
        <w:rPr>
          <w:rFonts w:ascii="Times New Roman" w:hAnsi="Times New Roman"/>
          <w:sz w:val="20"/>
          <w:szCs w:val="20"/>
        </w:rPr>
        <w:lastRenderedPageBreak/>
        <w:t>В зазначених закупівлях ціна за 1 кВт/год коливається в межах від 5,46 до 6,96 грн за 1 Квт*год. В цю ціну включено: тариф на передачу електричної енергії, вартість електричної енергії, в яку входить маржа постачальника (враховуючи всі податки, збори і т.д.).</w:t>
      </w:r>
    </w:p>
    <w:p w:rsidR="008C0B1E" w:rsidRPr="008C0B1E" w:rsidRDefault="008C0B1E" w:rsidP="008C0B1E">
      <w:pPr>
        <w:pStyle w:val="a3"/>
        <w:tabs>
          <w:tab w:val="left" w:pos="993"/>
        </w:tabs>
        <w:spacing w:after="0" w:line="240" w:lineRule="auto"/>
        <w:ind w:left="0"/>
        <w:jc w:val="both"/>
        <w:rPr>
          <w:rFonts w:ascii="Times New Roman" w:hAnsi="Times New Roman"/>
          <w:sz w:val="20"/>
          <w:szCs w:val="20"/>
        </w:rPr>
      </w:pPr>
      <w:r w:rsidRPr="008C0B1E">
        <w:rPr>
          <w:rFonts w:ascii="Times New Roman" w:hAnsi="Times New Roman"/>
          <w:sz w:val="20"/>
          <w:szCs w:val="20"/>
        </w:rPr>
        <w:t>З наведених даних розраховуємо орієнтовну ціну закупівлі 1 кВт</w:t>
      </w:r>
      <w:r>
        <w:rPr>
          <w:rFonts w:ascii="Times New Roman" w:hAnsi="Times New Roman"/>
          <w:sz w:val="20"/>
          <w:szCs w:val="20"/>
        </w:rPr>
        <w:t>/год</w:t>
      </w:r>
      <w:r w:rsidRPr="008C0B1E">
        <w:rPr>
          <w:rFonts w:ascii="Times New Roman" w:hAnsi="Times New Roman"/>
          <w:sz w:val="20"/>
          <w:szCs w:val="20"/>
        </w:rPr>
        <w:t xml:space="preserve"> електроенергії яка складає: 6,96+5,46+5,76+6,00+6,19=30,37/5=6,074 грн. </w:t>
      </w:r>
    </w:p>
    <w:p w:rsidR="008C0B1E" w:rsidRDefault="008C0B1E" w:rsidP="008C0B1E">
      <w:pPr>
        <w:pStyle w:val="a3"/>
        <w:tabs>
          <w:tab w:val="left" w:pos="993"/>
        </w:tabs>
        <w:spacing w:after="0" w:line="240" w:lineRule="auto"/>
        <w:ind w:left="0"/>
        <w:jc w:val="both"/>
        <w:rPr>
          <w:rFonts w:ascii="Times New Roman" w:hAnsi="Times New Roman"/>
          <w:bCs/>
          <w:sz w:val="20"/>
          <w:szCs w:val="20"/>
        </w:rPr>
      </w:pPr>
      <w:r w:rsidRPr="008C0B1E">
        <w:rPr>
          <w:rFonts w:ascii="Times New Roman" w:hAnsi="Times New Roman"/>
          <w:sz w:val="20"/>
          <w:szCs w:val="20"/>
        </w:rPr>
        <w:t xml:space="preserve">Остаточна очікувана вартість визначена як </w:t>
      </w:r>
      <w:r w:rsidRPr="008C0B1E">
        <w:rPr>
          <w:rFonts w:ascii="Times New Roman" w:hAnsi="Times New Roman"/>
          <w:bCs/>
          <w:sz w:val="20"/>
          <w:szCs w:val="20"/>
        </w:rPr>
        <w:t>добуток ціни електричної енергії за одиницю</w:t>
      </w:r>
      <w:r w:rsidRPr="008C0B1E">
        <w:rPr>
          <w:rFonts w:ascii="Times New Roman" w:hAnsi="Times New Roman"/>
          <w:sz w:val="20"/>
          <w:szCs w:val="20"/>
        </w:rPr>
        <w:t> товару та </w:t>
      </w:r>
      <w:r w:rsidRPr="008C0B1E">
        <w:rPr>
          <w:rFonts w:ascii="Times New Roman" w:hAnsi="Times New Roman"/>
          <w:bCs/>
          <w:sz w:val="20"/>
          <w:szCs w:val="20"/>
        </w:rPr>
        <w:t xml:space="preserve">обсягу електричної енергії: 68300кВт/год*6,07 = 414 581,00 грн. </w:t>
      </w:r>
    </w:p>
    <w:p w:rsidR="008C0B1E" w:rsidRPr="008C0B1E" w:rsidRDefault="008C0B1E" w:rsidP="008C0B1E">
      <w:pPr>
        <w:pStyle w:val="a3"/>
        <w:tabs>
          <w:tab w:val="left" w:pos="993"/>
        </w:tabs>
        <w:spacing w:after="0" w:line="240" w:lineRule="auto"/>
        <w:ind w:left="0"/>
        <w:jc w:val="both"/>
        <w:rPr>
          <w:rFonts w:ascii="Times New Roman" w:hAnsi="Times New Roman"/>
          <w:sz w:val="20"/>
          <w:szCs w:val="20"/>
        </w:rPr>
      </w:pPr>
    </w:p>
    <w:p w:rsidR="004371D4" w:rsidRDefault="004371D4" w:rsidP="004371D4">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Обґрунтування технічних характери</w:t>
      </w:r>
      <w:bookmarkStart w:id="0" w:name="_GoBack"/>
      <w:bookmarkEnd w:id="0"/>
      <w:r>
        <w:rPr>
          <w:rFonts w:ascii="Times New Roman" w:eastAsia="Times New Roman" w:hAnsi="Times New Roman"/>
          <w:b/>
          <w:sz w:val="20"/>
          <w:szCs w:val="20"/>
        </w:rPr>
        <w:t xml:space="preserve">стик. </w:t>
      </w:r>
      <w:r>
        <w:rPr>
          <w:rFonts w:ascii="Times New Roman" w:eastAsia="Times New Roman" w:hAnsi="Times New Roman"/>
          <w:sz w:val="20"/>
          <w:szCs w:val="20"/>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становить </w:t>
      </w:r>
      <w:r w:rsidR="008C0B1E">
        <w:rPr>
          <w:rFonts w:ascii="Times New Roman" w:eastAsia="Times New Roman" w:hAnsi="Times New Roman"/>
          <w:sz w:val="20"/>
          <w:szCs w:val="20"/>
        </w:rPr>
        <w:t xml:space="preserve">68300 </w:t>
      </w:r>
      <w:r>
        <w:rPr>
          <w:rFonts w:ascii="Times New Roman" w:eastAsia="Times New Roman" w:hAnsi="Times New Roman"/>
          <w:sz w:val="20"/>
          <w:szCs w:val="20"/>
        </w:rPr>
        <w:t xml:space="preserve">кВт. год. </w:t>
      </w:r>
    </w:p>
    <w:p w:rsidR="004371D4" w:rsidRDefault="004371D4" w:rsidP="004371D4">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Обґрунтування якісних характеристик</w:t>
      </w:r>
      <w:r>
        <w:rPr>
          <w:rFonts w:ascii="Times New Roman" w:eastAsia="Times New Roman" w:hAnsi="Times New Roman"/>
          <w:sz w:val="20"/>
          <w:szCs w:val="20"/>
        </w:rPr>
        <w:t xml:space="preserve">. Пунктом 1.1.2 глави 1.1 розділу І ПРРЕЕ визначено, що </w:t>
      </w:r>
      <w:bookmarkStart w:id="1" w:name="bookmark=id.gjdgxs" w:colFirst="0" w:colLast="0"/>
      <w:bookmarkEnd w:id="1"/>
      <w:r>
        <w:rPr>
          <w:rFonts w:ascii="Times New Roman" w:eastAsia="Times New Roman" w:hAnsi="Times New Roman"/>
          <w:sz w:val="20"/>
          <w:szCs w:val="20"/>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2" w:name="bookmark=id.30j0zll" w:colFirst="0" w:colLast="0"/>
      <w:bookmarkEnd w:id="2"/>
      <w:r>
        <w:rPr>
          <w:rFonts w:ascii="Times New Roman" w:eastAsia="Times New Roman" w:hAnsi="Times New Roman"/>
          <w:sz w:val="20"/>
          <w:szCs w:val="20"/>
        </w:rPr>
        <w:t>якість електричної енергії.</w:t>
      </w:r>
    </w:p>
    <w:p w:rsidR="004371D4" w:rsidRDefault="004371D4" w:rsidP="004371D4">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rsidR="004371D4" w:rsidRDefault="004371D4" w:rsidP="004371D4">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p w:rsidR="004371D4" w:rsidRDefault="004371D4" w:rsidP="004371D4">
      <w:pPr>
        <w:spacing w:after="0" w:line="240" w:lineRule="auto"/>
        <w:jc w:val="both"/>
        <w:rPr>
          <w:rFonts w:ascii="Times New Roman" w:eastAsia="Times New Roman" w:hAnsi="Times New Roman"/>
          <w:sz w:val="24"/>
          <w:szCs w:val="24"/>
        </w:rPr>
      </w:pPr>
    </w:p>
    <w:p w:rsidR="00915855" w:rsidRDefault="00915855"/>
    <w:sectPr w:rsidR="00915855" w:rsidSect="004371D4">
      <w:pgSz w:w="11906" w:h="16838"/>
      <w:pgMar w:top="568"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D4"/>
    <w:rsid w:val="004371D4"/>
    <w:rsid w:val="008C0B1E"/>
    <w:rsid w:val="00915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0A4A0-DFF9-439A-9A3D-45F7A411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1D4"/>
    <w:pPr>
      <w:spacing w:after="200" w:line="276" w:lineRule="auto"/>
    </w:pPr>
    <w:rPr>
      <w:rFonts w:ascii="Calibri" w:eastAsia="Calibri" w:hAnsi="Calibri" w:cs="Times New Roman"/>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List Paragraph (numbered (a)),заголовок 1.1,Chapter10,List Paragraph"/>
    <w:basedOn w:val="a"/>
    <w:link w:val="a4"/>
    <w:uiPriority w:val="34"/>
    <w:qFormat/>
    <w:rsid w:val="008C0B1E"/>
    <w:pPr>
      <w:ind w:left="720"/>
      <w:contextualSpacing/>
    </w:pPr>
    <w:rPr>
      <w:rFonts w:eastAsia="Times New Roman"/>
      <w:lang w:eastAsia="ru-RU"/>
    </w:rPr>
  </w:style>
  <w:style w:type="character" w:customStyle="1" w:styleId="a4">
    <w:name w:val="Абзац списка Знак"/>
    <w:aliases w:val="название табл/рис Знак,Список уровня 2 Знак,Bullet Number Знак,Bullet 1 Знак,Use Case List Paragraph Знак,lp1 Знак,List Paragraph1 Знак,lp11 Знак,List Paragraph11 Знак,List Paragraph (numbered (a)) Знак,заголовок 1.1 Знак"/>
    <w:link w:val="a3"/>
    <w:uiPriority w:val="34"/>
    <w:rsid w:val="008C0B1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4454</Words>
  <Characters>2540</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zvgchernivtcy@gmail.com</dc:creator>
  <cp:keywords/>
  <dc:description/>
  <cp:lastModifiedBy>zvgchernivtcy@gmail.com</cp:lastModifiedBy>
  <cp:revision>2</cp:revision>
  <dcterms:created xsi:type="dcterms:W3CDTF">2023-11-08T14:21:00Z</dcterms:created>
  <dcterms:modified xsi:type="dcterms:W3CDTF">2023-11-08T14:21:00Z</dcterms:modified>
</cp:coreProperties>
</file>