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r w:rsidR="00DF1248">
        <w:rPr>
          <w:b/>
          <w:sz w:val="28"/>
          <w:szCs w:val="28"/>
          <w:lang w:val="uk-UA"/>
        </w:rPr>
        <w:t>пункту</w:t>
      </w:r>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bookmarkStart w:id="0" w:name="_GoBack"/>
      <w:bookmarkEnd w:id="0"/>
    </w:p>
    <w:p w:rsidR="00267A25" w:rsidRDefault="00267A25" w:rsidP="00793FB3">
      <w:pPr>
        <w:jc w:val="center"/>
        <w:rPr>
          <w:b/>
          <w:sz w:val="28"/>
          <w:szCs w:val="28"/>
          <w:lang w:val="uk-UA"/>
        </w:rPr>
      </w:pPr>
    </w:p>
    <w:tbl>
      <w:tblPr>
        <w:tblStyle w:val="ad"/>
        <w:tblW w:w="0" w:type="auto"/>
        <w:tblInd w:w="-147" w:type="dxa"/>
        <w:tblLook w:val="04A0" w:firstRow="1" w:lastRow="0" w:firstColumn="1" w:lastColumn="0" w:noHBand="0" w:noVBand="1"/>
      </w:tblPr>
      <w:tblGrid>
        <w:gridCol w:w="3403"/>
        <w:gridCol w:w="6232"/>
      </w:tblGrid>
      <w:tr w:rsidR="00A37F62" w:rsidRPr="004A45E7" w:rsidTr="009E2DF5">
        <w:tc>
          <w:tcPr>
            <w:tcW w:w="3403" w:type="dxa"/>
          </w:tcPr>
          <w:p w:rsidR="00A37F62" w:rsidRPr="00E85A65" w:rsidRDefault="00A37F62" w:rsidP="00310411">
            <w:pPr>
              <w:rPr>
                <w:b/>
                <w:lang w:val="uk-UA"/>
              </w:rPr>
            </w:pPr>
            <w:r w:rsidRPr="00E85A65">
              <w:rPr>
                <w:lang w:val="uk-UA"/>
              </w:rPr>
              <w:t>Назва предмета закупівлі</w:t>
            </w:r>
          </w:p>
        </w:tc>
        <w:tc>
          <w:tcPr>
            <w:tcW w:w="6232" w:type="dxa"/>
          </w:tcPr>
          <w:p w:rsidR="00AB49D8" w:rsidRDefault="002022A6" w:rsidP="00684718">
            <w:pPr>
              <w:rPr>
                <w:lang w:val="uk-UA"/>
              </w:rPr>
            </w:pPr>
            <w:r w:rsidRPr="002022A6">
              <w:rPr>
                <w:lang w:val="uk-UA"/>
              </w:rPr>
              <w:t>Послуги з технічного обслуговування та поточного ремонту службового автотранспорту</w:t>
            </w:r>
            <w:r w:rsidR="00684718" w:rsidRPr="00684718">
              <w:rPr>
                <w:lang w:val="uk-UA"/>
              </w:rPr>
              <w:t xml:space="preserve"> </w:t>
            </w:r>
            <w:r>
              <w:rPr>
                <w:lang w:val="uk-UA"/>
              </w:rPr>
              <w:t xml:space="preserve">відповідно до коду </w:t>
            </w:r>
            <w:r w:rsidR="00684718" w:rsidRPr="00684718">
              <w:rPr>
                <w:lang w:val="uk-UA"/>
              </w:rPr>
              <w:t>ДК021:2015:50110000–9 «Послуги з ремонту і технічного обслуговування мототранспортних засобів і супутнього обладнання».</w:t>
            </w:r>
          </w:p>
          <w:p w:rsidR="003E7A88" w:rsidRPr="003E7A88" w:rsidRDefault="003E7A88" w:rsidP="003E7A88">
            <w:pPr>
              <w:rPr>
                <w:lang w:val="uk-UA"/>
              </w:rPr>
            </w:pPr>
            <w:r w:rsidRPr="003E7A88">
              <w:rPr>
                <w:b/>
                <w:lang w:val="uk-UA"/>
              </w:rPr>
              <w:t xml:space="preserve">Лот № 1. </w:t>
            </w:r>
            <w:r w:rsidRPr="003E7A88">
              <w:rPr>
                <w:lang w:val="uk-UA"/>
              </w:rPr>
              <w:t>Послуги з технічного обслуговування та поточного ремонту службового автотранспорту</w:t>
            </w:r>
            <w:r>
              <w:rPr>
                <w:lang w:val="uk-UA"/>
              </w:rPr>
              <w:t>.</w:t>
            </w:r>
          </w:p>
          <w:p w:rsidR="003E7A88" w:rsidRPr="003E7A88" w:rsidRDefault="003E7A88" w:rsidP="003E7A88">
            <w:pPr>
              <w:rPr>
                <w:lang w:val="uk-UA"/>
              </w:rPr>
            </w:pPr>
            <w:r w:rsidRPr="003E7A88">
              <w:rPr>
                <w:b/>
                <w:lang w:val="uk-UA"/>
              </w:rPr>
              <w:t>Лот № 2.</w:t>
            </w:r>
            <w:r w:rsidRPr="003E7A88">
              <w:rPr>
                <w:lang w:val="uk-UA"/>
              </w:rPr>
              <w:t xml:space="preserve"> Послуги з гарантійного технічного обслуговування окремого нового службово</w:t>
            </w:r>
            <w:r>
              <w:rPr>
                <w:lang w:val="uk-UA"/>
              </w:rPr>
              <w:t>го автотранспорту марки HYNDAI.</w:t>
            </w:r>
          </w:p>
          <w:p w:rsidR="003E7A88" w:rsidRPr="002C6F9E" w:rsidRDefault="003E7A88" w:rsidP="003E7A88">
            <w:pPr>
              <w:rPr>
                <w:lang w:val="uk-UA"/>
              </w:rPr>
            </w:pPr>
            <w:r w:rsidRPr="003E7A88">
              <w:rPr>
                <w:b/>
                <w:lang w:val="uk-UA"/>
              </w:rPr>
              <w:t>Лот № 3.</w:t>
            </w:r>
            <w:r w:rsidRPr="003E7A88">
              <w:rPr>
                <w:lang w:val="uk-UA"/>
              </w:rPr>
              <w:t xml:space="preserve"> Послуги з гарантійного технічного обслуговування окремого нового службового автотранспорту марки TOYOTA</w:t>
            </w:r>
            <w:r>
              <w:rPr>
                <w:lang w:val="uk-UA"/>
              </w:rPr>
              <w:t>.</w:t>
            </w:r>
          </w:p>
        </w:tc>
      </w:tr>
      <w:tr w:rsidR="00A37F62" w:rsidTr="009E2DF5">
        <w:tc>
          <w:tcPr>
            <w:tcW w:w="3403"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6232" w:type="dxa"/>
          </w:tcPr>
          <w:p w:rsidR="00A37F62" w:rsidRPr="001141F8" w:rsidRDefault="004F7739" w:rsidP="001A14EE">
            <w:pPr>
              <w:rPr>
                <w:lang w:val="uk-UA"/>
              </w:rPr>
            </w:pPr>
            <w:r w:rsidRPr="004F7739">
              <w:rPr>
                <w:rFonts w:eastAsia="SimSun"/>
                <w:lang w:val="uk-UA" w:eastAsia="en-US"/>
              </w:rPr>
              <w:t>UA-2024-02-22-008236-a</w:t>
            </w:r>
          </w:p>
        </w:tc>
      </w:tr>
      <w:tr w:rsidR="00A37F62" w:rsidRPr="003C2294" w:rsidTr="009E2DF5">
        <w:tc>
          <w:tcPr>
            <w:tcW w:w="3403"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6232" w:type="dxa"/>
          </w:tcPr>
          <w:p w:rsidR="00A37F62" w:rsidRDefault="004F7739" w:rsidP="004F7739">
            <w:pPr>
              <w:rPr>
                <w:lang w:val="uk-UA"/>
              </w:rPr>
            </w:pPr>
            <w:r>
              <w:rPr>
                <w:lang w:val="uk-UA"/>
              </w:rPr>
              <w:t xml:space="preserve">Лот№1 - </w:t>
            </w:r>
            <w:r w:rsidRPr="004F7739">
              <w:rPr>
                <w:lang w:val="uk-UA"/>
              </w:rPr>
              <w:t>814 320,00 грн з ПДВ</w:t>
            </w:r>
            <w:r w:rsidR="00BD5F1E">
              <w:rPr>
                <w:lang w:val="uk-UA"/>
              </w:rPr>
              <w:t>;</w:t>
            </w:r>
          </w:p>
          <w:p w:rsidR="00B31DEF" w:rsidRDefault="00B31DEF" w:rsidP="004F7739">
            <w:pPr>
              <w:rPr>
                <w:lang w:val="uk-UA"/>
              </w:rPr>
            </w:pPr>
            <w:r>
              <w:rPr>
                <w:lang w:val="uk-UA"/>
              </w:rPr>
              <w:t xml:space="preserve">Лот№2 - </w:t>
            </w:r>
            <w:r w:rsidRPr="00B31DEF">
              <w:rPr>
                <w:lang w:val="uk-UA"/>
              </w:rPr>
              <w:t>101 616,00 грн з ПДВ</w:t>
            </w:r>
            <w:r w:rsidR="00BD5F1E">
              <w:rPr>
                <w:lang w:val="uk-UA"/>
              </w:rPr>
              <w:t>;</w:t>
            </w:r>
          </w:p>
          <w:p w:rsidR="00B31DEF" w:rsidRPr="009A144F" w:rsidRDefault="00B31DEF" w:rsidP="004F7739">
            <w:pPr>
              <w:rPr>
                <w:lang w:val="uk-UA"/>
              </w:rPr>
            </w:pPr>
            <w:r>
              <w:rPr>
                <w:lang w:val="uk-UA"/>
              </w:rPr>
              <w:t xml:space="preserve">Лот№3 - </w:t>
            </w:r>
            <w:r w:rsidRPr="00B31DEF">
              <w:rPr>
                <w:lang w:val="uk-UA"/>
              </w:rPr>
              <w:t>143 550,00 грн з ПДВ</w:t>
            </w:r>
            <w:r w:rsidR="00BD5F1E">
              <w:rPr>
                <w:lang w:val="uk-UA"/>
              </w:rPr>
              <w:t>.</w:t>
            </w:r>
          </w:p>
        </w:tc>
      </w:tr>
      <w:tr w:rsidR="005816ED" w:rsidRPr="001A14EE" w:rsidTr="009E2DF5">
        <w:trPr>
          <w:trHeight w:val="1777"/>
        </w:trPr>
        <w:tc>
          <w:tcPr>
            <w:tcW w:w="3403" w:type="dxa"/>
          </w:tcPr>
          <w:p w:rsidR="005816ED" w:rsidRPr="002C6F9E" w:rsidRDefault="005816ED" w:rsidP="00310411">
            <w:pPr>
              <w:rPr>
                <w:lang w:val="uk-UA"/>
              </w:rPr>
            </w:pPr>
            <w:r w:rsidRPr="002C6F9E">
              <w:rPr>
                <w:lang w:val="uk-UA"/>
              </w:rPr>
              <w:t>Розмір бюджетного призначення</w:t>
            </w:r>
          </w:p>
        </w:tc>
        <w:tc>
          <w:tcPr>
            <w:tcW w:w="6232" w:type="dxa"/>
          </w:tcPr>
          <w:p w:rsidR="00684718" w:rsidRDefault="004F7739" w:rsidP="004F7739">
            <w:pPr>
              <w:rPr>
                <w:lang w:val="uk-UA"/>
              </w:rPr>
            </w:pPr>
            <w:r w:rsidRPr="004F7739">
              <w:rPr>
                <w:lang w:val="uk-UA"/>
              </w:rPr>
              <w:t>1 059 486,00 грн</w:t>
            </w:r>
            <w:r>
              <w:rPr>
                <w:lang w:val="uk-UA"/>
              </w:rPr>
              <w:t xml:space="preserve">. </w:t>
            </w:r>
            <w:r w:rsidR="00684718" w:rsidRPr="00684718">
              <w:rPr>
                <w:lang w:val="uk-UA"/>
              </w:rPr>
              <w:t>(</w:t>
            </w:r>
            <w:r>
              <w:rPr>
                <w:lang w:val="uk-UA"/>
              </w:rPr>
              <w:t>один мільйон п’ятдесят дев’ять тисяч чотириста вісімдесят шість</w:t>
            </w:r>
            <w:r w:rsidR="00684718" w:rsidRPr="00684718">
              <w:rPr>
                <w:lang w:val="uk-UA"/>
              </w:rPr>
              <w:t xml:space="preserve">  грн. 00 коп.) з ПДВ.</w:t>
            </w:r>
          </w:p>
          <w:p w:rsidR="005816ED" w:rsidRDefault="00684718" w:rsidP="004F7739">
            <w:pPr>
              <w:rPr>
                <w:bCs/>
                <w:color w:val="000000"/>
                <w:lang w:val="uk-UA" w:eastAsia="uk-UA"/>
              </w:rPr>
            </w:pPr>
            <w:r w:rsidRPr="00684718">
              <w:rPr>
                <w:bCs/>
                <w:color w:val="000000"/>
                <w:lang w:val="uk-UA" w:eastAsia="uk-UA"/>
              </w:rPr>
              <w:t>Фінансування буде здійснюватися по КПКВ 6521010  за КЕКВ 22</w:t>
            </w:r>
            <w:r w:rsidR="00E33367">
              <w:rPr>
                <w:bCs/>
                <w:color w:val="000000"/>
                <w:lang w:val="uk-UA" w:eastAsia="uk-UA"/>
              </w:rPr>
              <w:t xml:space="preserve">40 </w:t>
            </w:r>
            <w:r w:rsidRPr="00684718">
              <w:rPr>
                <w:bCs/>
                <w:color w:val="000000"/>
                <w:lang w:val="uk-UA" w:eastAsia="uk-UA"/>
              </w:rPr>
              <w:t xml:space="preserve">за кодом ДК 021:2015:50110000–9 «Послуги з ремонту і технічного обслуговування мототранспортних засобів і супутнього обладнання» за рахунок загального фонду Державного бюджету на суму – </w:t>
            </w:r>
            <w:r w:rsidR="004F7739">
              <w:rPr>
                <w:bCs/>
                <w:color w:val="000000"/>
                <w:lang w:val="uk-UA" w:eastAsia="uk-UA"/>
              </w:rPr>
              <w:t>1 01</w:t>
            </w:r>
            <w:r w:rsidR="004F7739" w:rsidRPr="004F7739">
              <w:rPr>
                <w:bCs/>
                <w:color w:val="000000"/>
                <w:lang w:val="uk-UA" w:eastAsia="uk-UA"/>
              </w:rPr>
              <w:t xml:space="preserve">9 486,00 грн. </w:t>
            </w:r>
            <w:r w:rsidRPr="00684718">
              <w:rPr>
                <w:bCs/>
                <w:color w:val="000000"/>
                <w:lang w:val="uk-UA" w:eastAsia="uk-UA"/>
              </w:rPr>
              <w:t xml:space="preserve">грн.; та </w:t>
            </w:r>
            <w:r w:rsidR="004F7739">
              <w:rPr>
                <w:bCs/>
                <w:color w:val="000000"/>
                <w:lang w:val="uk-UA" w:eastAsia="uk-UA"/>
              </w:rPr>
              <w:t xml:space="preserve">спеціального фонду </w:t>
            </w:r>
            <w:r w:rsidR="004F7739" w:rsidRPr="004F7739">
              <w:rPr>
                <w:bCs/>
                <w:color w:val="000000"/>
                <w:lang w:val="uk-UA" w:eastAsia="uk-UA"/>
              </w:rPr>
              <w:t xml:space="preserve">Державного бюджету </w:t>
            </w:r>
            <w:r w:rsidR="004F7739">
              <w:rPr>
                <w:bCs/>
                <w:color w:val="000000"/>
                <w:lang w:val="uk-UA" w:eastAsia="uk-UA"/>
              </w:rPr>
              <w:t>на суму – 4</w:t>
            </w:r>
            <w:r w:rsidRPr="00684718">
              <w:rPr>
                <w:bCs/>
                <w:color w:val="000000"/>
                <w:lang w:val="uk-UA" w:eastAsia="uk-UA"/>
              </w:rPr>
              <w:t>0 000,00 грн.</w:t>
            </w:r>
          </w:p>
          <w:p w:rsidR="00C757F4" w:rsidRPr="00C757F4" w:rsidRDefault="00C757F4" w:rsidP="004F7739">
            <w:pPr>
              <w:rPr>
                <w:bCs/>
                <w:color w:val="000000"/>
                <w:lang w:val="uk-UA" w:eastAsia="uk-UA"/>
              </w:rPr>
            </w:pPr>
            <w:r w:rsidRPr="00C757F4">
              <w:rPr>
                <w:bCs/>
                <w:color w:val="000000"/>
                <w:lang w:val="uk-UA" w:eastAsia="uk-UA"/>
              </w:rPr>
              <w:t>(розмір бюджетного призначення визначений відповідно до розрахунків витрат коштів за КЕКВ 2240 до проекту кошторису на 2024 рік)</w:t>
            </w:r>
            <w:r w:rsidR="005F51F4">
              <w:rPr>
                <w:bCs/>
                <w:color w:val="000000"/>
                <w:lang w:val="uk-UA" w:eastAsia="uk-UA"/>
              </w:rPr>
              <w:t>.</w:t>
            </w:r>
          </w:p>
        </w:tc>
      </w:tr>
    </w:tbl>
    <w:p w:rsidR="009E2DF5" w:rsidRDefault="002D3DD4" w:rsidP="00D51F84">
      <w:pPr>
        <w:shd w:val="clear" w:color="auto" w:fill="FFFFFF"/>
        <w:autoSpaceDE w:val="0"/>
        <w:autoSpaceDN w:val="0"/>
        <w:adjustRightInd w:val="0"/>
        <w:ind w:firstLine="709"/>
        <w:jc w:val="both"/>
        <w:rPr>
          <w:b/>
          <w:spacing w:val="-4"/>
          <w:sz w:val="28"/>
          <w:szCs w:val="28"/>
          <w:lang w:val="uk-UA"/>
        </w:rPr>
      </w:pPr>
      <w:r>
        <w:rPr>
          <w:b/>
          <w:spacing w:val="-4"/>
          <w:sz w:val="28"/>
          <w:szCs w:val="28"/>
          <w:lang w:val="uk-UA"/>
        </w:rPr>
        <w:t xml:space="preserve">               </w:t>
      </w:r>
    </w:p>
    <w:p w:rsidR="0061362E" w:rsidRDefault="002D3DD4" w:rsidP="00D51F84">
      <w:pPr>
        <w:shd w:val="clear" w:color="auto" w:fill="FFFFFF"/>
        <w:autoSpaceDE w:val="0"/>
        <w:autoSpaceDN w:val="0"/>
        <w:adjustRightInd w:val="0"/>
        <w:ind w:firstLine="709"/>
        <w:jc w:val="both"/>
        <w:rPr>
          <w:b/>
          <w:spacing w:val="-4"/>
          <w:lang w:val="uk-UA"/>
        </w:rPr>
      </w:pPr>
      <w:r w:rsidRPr="00016D7F">
        <w:rPr>
          <w:b/>
          <w:spacing w:val="-4"/>
          <w:lang w:val="uk-UA"/>
        </w:rPr>
        <w:t>Обґрунтування очікуваної вартості предмета закупівлі</w:t>
      </w:r>
    </w:p>
    <w:p w:rsidR="00D51F84" w:rsidRPr="00016D7F" w:rsidRDefault="00D51F84" w:rsidP="00D51F84">
      <w:pPr>
        <w:shd w:val="clear" w:color="auto" w:fill="FFFFFF"/>
        <w:autoSpaceDE w:val="0"/>
        <w:autoSpaceDN w:val="0"/>
        <w:adjustRightInd w:val="0"/>
        <w:ind w:firstLine="709"/>
        <w:jc w:val="both"/>
        <w:rPr>
          <w:b/>
          <w:spacing w:val="-4"/>
          <w:lang w:val="uk-UA"/>
        </w:rPr>
      </w:pPr>
    </w:p>
    <w:p w:rsidR="00AF46E1" w:rsidRDefault="00B31DEF" w:rsidP="0061362E">
      <w:pPr>
        <w:widowControl w:val="0"/>
        <w:shd w:val="clear" w:color="auto" w:fill="FFFFFF"/>
        <w:autoSpaceDE w:val="0"/>
        <w:autoSpaceDN w:val="0"/>
        <w:adjustRightInd w:val="0"/>
        <w:ind w:firstLine="709"/>
        <w:jc w:val="both"/>
        <w:rPr>
          <w:spacing w:val="-9"/>
          <w:lang w:val="uk-UA"/>
        </w:rPr>
      </w:pPr>
      <w:r w:rsidRPr="00B31DEF">
        <w:rPr>
          <w:spacing w:val="-4"/>
          <w:lang w:val="uk-UA"/>
        </w:rPr>
        <w:t>З метою з'ясування середньої вартості та обсягів закупівлі б</w:t>
      </w:r>
      <w:r w:rsidR="004A45E7">
        <w:rPr>
          <w:spacing w:val="-4"/>
          <w:lang w:val="uk-UA"/>
        </w:rPr>
        <w:t xml:space="preserve">уло проведено моніторинг ринку </w:t>
      </w:r>
      <w:r w:rsidRPr="00B31DEF">
        <w:rPr>
          <w:spacing w:val="-4"/>
          <w:lang w:val="uk-UA"/>
        </w:rPr>
        <w:t>послуг СТО  шляхом порівняння по вартості нормо-годин, отриманих від представників підприємств-дилерів, СТО  і ФОП. Обсяги закупівлі послуги з ремонту і технічного обслуговування автомобілів за ДК 021:2015: 50110000-9 (Послуги з ремонту і технічного обслуговування мототранспортних засобів і супутнього обладнання) було розраховано згідно Наказу Міністерства транспорту України від 30.03.1998 р. № 102 «Про затвердження Положення про технічне обслуговування і ремонт дорожніх транспортних засобів автомобільного транспорту</w:t>
      </w:r>
      <w:r>
        <w:rPr>
          <w:spacing w:val="-4"/>
          <w:lang w:val="uk-UA"/>
        </w:rPr>
        <w:t>.</w:t>
      </w:r>
      <w:r w:rsidRPr="00B31DEF">
        <w:rPr>
          <w:spacing w:val="-4"/>
          <w:lang w:val="uk-UA"/>
        </w:rPr>
        <w:t xml:space="preserve"> </w:t>
      </w:r>
      <w:r w:rsidR="00AF46E1" w:rsidRPr="00AF46E1">
        <w:rPr>
          <w:color w:val="000000" w:themeColor="text1"/>
          <w:spacing w:val="-9"/>
          <w:lang w:val="uk-UA"/>
        </w:rPr>
        <w:t>Таким чином, відповідно до отриманої інформації, ви</w:t>
      </w:r>
      <w:r w:rsidR="00AF46E1" w:rsidRPr="00AF46E1">
        <w:rPr>
          <w:spacing w:val="-9"/>
          <w:lang w:val="uk-UA"/>
        </w:rPr>
        <w:t xml:space="preserve">значено середню ринкову вартість, яка зазначається як очікувана та становить </w:t>
      </w:r>
      <w:r w:rsidRPr="00B31DEF">
        <w:rPr>
          <w:spacing w:val="-9"/>
          <w:lang w:val="uk-UA"/>
        </w:rPr>
        <w:t>1 059 486,00 грн.</w:t>
      </w:r>
      <w:r w:rsidR="004E1E61">
        <w:rPr>
          <w:spacing w:val="-9"/>
          <w:lang w:val="uk-UA"/>
        </w:rPr>
        <w:t xml:space="preserve"> з ПДВ:</w:t>
      </w:r>
    </w:p>
    <w:p w:rsidR="004E1E61" w:rsidRPr="004E1E61" w:rsidRDefault="004E1E61" w:rsidP="004E1E61">
      <w:pPr>
        <w:widowControl w:val="0"/>
        <w:shd w:val="clear" w:color="auto" w:fill="FFFFFF"/>
        <w:autoSpaceDE w:val="0"/>
        <w:autoSpaceDN w:val="0"/>
        <w:adjustRightInd w:val="0"/>
        <w:ind w:firstLine="709"/>
        <w:jc w:val="both"/>
        <w:rPr>
          <w:spacing w:val="-9"/>
          <w:lang w:val="uk-UA"/>
        </w:rPr>
      </w:pPr>
      <w:r w:rsidRPr="004E1E61">
        <w:rPr>
          <w:spacing w:val="-9"/>
          <w:lang w:val="uk-UA"/>
        </w:rPr>
        <w:t>Лот№1 - 814 320,00 грн з ПДВ</w:t>
      </w:r>
      <w:r>
        <w:rPr>
          <w:spacing w:val="-9"/>
          <w:lang w:val="uk-UA"/>
        </w:rPr>
        <w:t>;</w:t>
      </w:r>
    </w:p>
    <w:p w:rsidR="004E1E61" w:rsidRPr="004E1E61" w:rsidRDefault="004E1E61" w:rsidP="004E1E61">
      <w:pPr>
        <w:widowControl w:val="0"/>
        <w:shd w:val="clear" w:color="auto" w:fill="FFFFFF"/>
        <w:autoSpaceDE w:val="0"/>
        <w:autoSpaceDN w:val="0"/>
        <w:adjustRightInd w:val="0"/>
        <w:ind w:firstLine="709"/>
        <w:jc w:val="both"/>
        <w:rPr>
          <w:spacing w:val="-9"/>
          <w:lang w:val="uk-UA"/>
        </w:rPr>
      </w:pPr>
      <w:r w:rsidRPr="004E1E61">
        <w:rPr>
          <w:spacing w:val="-9"/>
          <w:lang w:val="uk-UA"/>
        </w:rPr>
        <w:t>Лот№2 - 101 616,00 грн з ПДВ</w:t>
      </w:r>
      <w:r>
        <w:rPr>
          <w:spacing w:val="-9"/>
          <w:lang w:val="uk-UA"/>
        </w:rPr>
        <w:t>;</w:t>
      </w:r>
    </w:p>
    <w:p w:rsidR="00D51F84" w:rsidRDefault="004E1E61" w:rsidP="004E1E61">
      <w:pPr>
        <w:widowControl w:val="0"/>
        <w:shd w:val="clear" w:color="auto" w:fill="FFFFFF"/>
        <w:autoSpaceDE w:val="0"/>
        <w:autoSpaceDN w:val="0"/>
        <w:adjustRightInd w:val="0"/>
        <w:ind w:firstLine="709"/>
        <w:jc w:val="both"/>
        <w:rPr>
          <w:spacing w:val="-9"/>
          <w:lang w:val="uk-UA"/>
        </w:rPr>
      </w:pPr>
      <w:r w:rsidRPr="004E1E61">
        <w:rPr>
          <w:spacing w:val="-9"/>
          <w:lang w:val="uk-UA"/>
        </w:rPr>
        <w:t>Лот№3 - 143 550,00 грн з ПДВ</w:t>
      </w:r>
      <w:r>
        <w:rPr>
          <w:spacing w:val="-9"/>
          <w:lang w:val="uk-UA"/>
        </w:rPr>
        <w:t>.</w:t>
      </w:r>
    </w:p>
    <w:p w:rsidR="00C757F4" w:rsidRDefault="00C757F4" w:rsidP="004E1E61">
      <w:pPr>
        <w:widowControl w:val="0"/>
        <w:shd w:val="clear" w:color="auto" w:fill="FFFFFF"/>
        <w:autoSpaceDE w:val="0"/>
        <w:autoSpaceDN w:val="0"/>
        <w:adjustRightInd w:val="0"/>
        <w:ind w:firstLine="709"/>
        <w:jc w:val="both"/>
        <w:rPr>
          <w:spacing w:val="-9"/>
          <w:lang w:val="uk-UA"/>
        </w:rPr>
      </w:pPr>
    </w:p>
    <w:p w:rsidR="002226E8" w:rsidRDefault="00860D0F" w:rsidP="00D51F84">
      <w:pPr>
        <w:jc w:val="center"/>
        <w:rPr>
          <w:b/>
          <w:spacing w:val="-4"/>
          <w:lang w:val="uk-UA"/>
        </w:rPr>
      </w:pPr>
      <w:r w:rsidRPr="00E14EAD">
        <w:rPr>
          <w:b/>
          <w:spacing w:val="-4"/>
          <w:lang w:val="uk-UA"/>
        </w:rPr>
        <w:t xml:space="preserve">Обґрунтування </w:t>
      </w:r>
      <w:bookmarkStart w:id="1" w:name="_Hlk146061175"/>
      <w:r w:rsidRPr="00E14EAD">
        <w:rPr>
          <w:b/>
          <w:spacing w:val="-4"/>
          <w:lang w:val="uk-UA"/>
        </w:rPr>
        <w:t>технічних та якісних характеристик предмета закупівлі</w:t>
      </w:r>
      <w:bookmarkEnd w:id="1"/>
    </w:p>
    <w:p w:rsidR="00E2352B" w:rsidRDefault="00AF46E1" w:rsidP="00E2352B">
      <w:pPr>
        <w:jc w:val="both"/>
        <w:rPr>
          <w:b/>
          <w:lang w:val="uk-UA"/>
        </w:rPr>
      </w:pPr>
      <w:r w:rsidRPr="00AF46E1">
        <w:rPr>
          <w:spacing w:val="-4"/>
          <w:lang w:val="uk-UA"/>
        </w:rPr>
        <w:t xml:space="preserve">Технічні та якісні характеристики  предмета закупівлі визначені відповідно до потреб, та з метою організації транспортного забезпечення діяльності Замовника з урахуванням вимог нормативних документів у сфері стандартизації. Якість </w:t>
      </w:r>
      <w:r w:rsidR="00684718">
        <w:rPr>
          <w:spacing w:val="-4"/>
          <w:lang w:val="uk-UA"/>
        </w:rPr>
        <w:t>послуги</w:t>
      </w:r>
      <w:r w:rsidRPr="00AF46E1">
        <w:rPr>
          <w:spacing w:val="-4"/>
          <w:lang w:val="uk-UA"/>
        </w:rPr>
        <w:t xml:space="preserve"> </w:t>
      </w:r>
      <w:r w:rsidR="00E2352B" w:rsidRPr="00E2352B">
        <w:rPr>
          <w:spacing w:val="-4"/>
          <w:lang w:val="uk-UA"/>
        </w:rPr>
        <w:t xml:space="preserve">з ремонту і технічного обслуговування </w:t>
      </w:r>
      <w:r w:rsidR="00E2352B" w:rsidRPr="00E2352B">
        <w:rPr>
          <w:spacing w:val="-4"/>
          <w:lang w:val="uk-UA"/>
        </w:rPr>
        <w:lastRenderedPageBreak/>
        <w:t xml:space="preserve">автомобілів </w:t>
      </w:r>
      <w:r w:rsidR="00D51F84" w:rsidRPr="00D51F84">
        <w:rPr>
          <w:spacing w:val="-4"/>
          <w:lang w:val="uk-UA"/>
        </w:rPr>
        <w:t>з наданням якісних необхідних за</w:t>
      </w:r>
      <w:r w:rsidR="00C757F4">
        <w:rPr>
          <w:spacing w:val="-4"/>
          <w:lang w:val="uk-UA"/>
        </w:rPr>
        <w:t xml:space="preserve">пчастин та витратних матеріалів </w:t>
      </w:r>
      <w:r w:rsidR="00E2352B" w:rsidRPr="00E2352B">
        <w:rPr>
          <w:spacing w:val="-4"/>
          <w:lang w:val="uk-UA"/>
        </w:rPr>
        <w:t>повинно відповідати вимогам державних стандартів, інструкцій заводів-виробників автомобілів.</w:t>
      </w:r>
      <w:r w:rsidR="00E2352B" w:rsidRPr="00E2352B">
        <w:rPr>
          <w:b/>
          <w:lang w:val="uk-UA"/>
        </w:rPr>
        <w:t xml:space="preserve"> </w:t>
      </w:r>
    </w:p>
    <w:p w:rsidR="00D51F84" w:rsidRDefault="00D51F84" w:rsidP="00E2352B">
      <w:pPr>
        <w:jc w:val="both"/>
        <w:rPr>
          <w:b/>
          <w:lang w:val="uk-UA"/>
        </w:rPr>
      </w:pPr>
    </w:p>
    <w:p w:rsidR="008317E8" w:rsidRDefault="00E2352B" w:rsidP="005C7372">
      <w:pPr>
        <w:jc w:val="both"/>
        <w:rPr>
          <w:spacing w:val="-4"/>
          <w:lang w:val="uk-UA"/>
        </w:rPr>
      </w:pPr>
      <w:r w:rsidRPr="00E2352B">
        <w:rPr>
          <w:spacing w:val="-4"/>
          <w:lang w:val="uk-UA"/>
        </w:rPr>
        <w:t>Початок гарантійного строку (шість місяців) обчислюється з дня передачі Замовнику автотранспорту чи</w:t>
      </w:r>
      <w:r>
        <w:rPr>
          <w:spacing w:val="-4"/>
          <w:lang w:val="uk-UA"/>
        </w:rPr>
        <w:t xml:space="preserve"> його складових частин (систем).</w:t>
      </w:r>
    </w:p>
    <w:p w:rsidR="001A14EE" w:rsidRPr="001A14EE" w:rsidRDefault="001A14EE" w:rsidP="005C7372">
      <w:pPr>
        <w:jc w:val="both"/>
        <w:rPr>
          <w:spacing w:val="-4"/>
          <w:lang w:val="uk-UA"/>
        </w:rPr>
      </w:pPr>
    </w:p>
    <w:p w:rsidR="00A37F62" w:rsidRDefault="00016D7F" w:rsidP="0045753C">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b/>
          <w:sz w:val="28"/>
          <w:szCs w:val="28"/>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тел: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proofErr w:type="spellStart"/>
      <w:r w:rsidR="00CF4D6C">
        <w:rPr>
          <w:rStyle w:val="a8"/>
          <w:rFonts w:eastAsiaTheme="majorEastAsia"/>
          <w:color w:val="auto"/>
          <w:lang w:val="en-US"/>
        </w:rPr>
        <w:t>tsv</w:t>
      </w:r>
      <w:proofErr w:type="spellEnd"/>
      <w:r w:rsidR="00CF4D6C" w:rsidRPr="00CF4D6C">
        <w:rPr>
          <w:rStyle w:val="a8"/>
          <w:rFonts w:eastAsiaTheme="majorEastAsia"/>
          <w:color w:val="auto"/>
        </w:rPr>
        <w:t>7753191</w:t>
      </w:r>
      <w:r w:rsidR="00852685" w:rsidRPr="00E85A65">
        <w:rPr>
          <w:rStyle w:val="a8"/>
          <w:rFonts w:eastAsiaTheme="majorEastAsia"/>
          <w:color w:val="auto"/>
          <w:lang w:val="uk-UA"/>
        </w:rPr>
        <w:t>@gmail.com</w:t>
      </w:r>
    </w:p>
    <w:sectPr w:rsidR="00A37F62" w:rsidSect="005C7372">
      <w:pgSz w:w="11906" w:h="16838"/>
      <w:pgMar w:top="899" w:right="707"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CC"/>
    <w:family w:val="roman"/>
    <w:pitch w:val="variable"/>
    <w:sig w:usb0="E0002EFF" w:usb1="C000785B" w:usb2="00000009" w:usb3="00000000" w:csb0="000001FF" w:csb1="00000000"/>
  </w:font>
  <w:font w:name="Symbol">
    <w:altName w:val="LIGACourier"/>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5"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Ë¢çEcE?¡Ë¢ç¨Ï¡©¡Ë¢ç¡§IcE?¡Ë¢ç"/>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ì????"/>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2FDB10B0"/>
    <w:multiLevelType w:val="hybridMultilevel"/>
    <w:tmpl w:val="2FF40796"/>
    <w:lvl w:ilvl="0" w:tplc="71A2F3F0">
      <w:start w:val="1"/>
      <w:numFmt w:val="bullet"/>
      <w:lvlText w:val=""/>
      <w:lvlJc w:val="left"/>
      <w:pPr>
        <w:tabs>
          <w:tab w:val="num" w:pos="720"/>
        </w:tabs>
        <w:ind w:left="720" w:hanging="360"/>
      </w:pPr>
      <w:rPr>
        <w:rFonts w:ascii="Symbol" w:hAnsi="Symbol" w:hint="default"/>
        <w:color w:val="auto"/>
      </w:rPr>
    </w:lvl>
    <w:lvl w:ilvl="1" w:tplc="06D2113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4"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5"/>
  </w:num>
  <w:num w:numId="44">
    <w:abstractNumId w:val="14"/>
  </w:num>
  <w:num w:numId="45">
    <w:abstractNumId w:val="11"/>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A14EE"/>
    <w:rsid w:val="001F1764"/>
    <w:rsid w:val="001F1F54"/>
    <w:rsid w:val="002022A6"/>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638CD"/>
    <w:rsid w:val="003757B2"/>
    <w:rsid w:val="003847AE"/>
    <w:rsid w:val="00386FEC"/>
    <w:rsid w:val="00393933"/>
    <w:rsid w:val="003A356E"/>
    <w:rsid w:val="003C2294"/>
    <w:rsid w:val="003E0B9B"/>
    <w:rsid w:val="003E7A88"/>
    <w:rsid w:val="003F25FA"/>
    <w:rsid w:val="003F7114"/>
    <w:rsid w:val="0045115A"/>
    <w:rsid w:val="0045753C"/>
    <w:rsid w:val="004722FD"/>
    <w:rsid w:val="00486661"/>
    <w:rsid w:val="00497EB0"/>
    <w:rsid w:val="004A45E7"/>
    <w:rsid w:val="004A5EEF"/>
    <w:rsid w:val="004A7AEA"/>
    <w:rsid w:val="004D1C2C"/>
    <w:rsid w:val="004D7CD9"/>
    <w:rsid w:val="004E130B"/>
    <w:rsid w:val="004E1E61"/>
    <w:rsid w:val="004F7739"/>
    <w:rsid w:val="00524445"/>
    <w:rsid w:val="005257A1"/>
    <w:rsid w:val="00543DB7"/>
    <w:rsid w:val="005816ED"/>
    <w:rsid w:val="0058188C"/>
    <w:rsid w:val="005B0913"/>
    <w:rsid w:val="005C7372"/>
    <w:rsid w:val="005E5CC6"/>
    <w:rsid w:val="005F51F4"/>
    <w:rsid w:val="0061362E"/>
    <w:rsid w:val="00625DAD"/>
    <w:rsid w:val="00627D15"/>
    <w:rsid w:val="00634ECE"/>
    <w:rsid w:val="0064599B"/>
    <w:rsid w:val="00650421"/>
    <w:rsid w:val="00684718"/>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854B6"/>
    <w:rsid w:val="009A144F"/>
    <w:rsid w:val="009B4B9B"/>
    <w:rsid w:val="009C42CA"/>
    <w:rsid w:val="009C56E5"/>
    <w:rsid w:val="009C6C2A"/>
    <w:rsid w:val="009E2DF5"/>
    <w:rsid w:val="009F3F6A"/>
    <w:rsid w:val="00A018BE"/>
    <w:rsid w:val="00A24C6B"/>
    <w:rsid w:val="00A37F62"/>
    <w:rsid w:val="00A60145"/>
    <w:rsid w:val="00A619DE"/>
    <w:rsid w:val="00A71FD8"/>
    <w:rsid w:val="00A75C73"/>
    <w:rsid w:val="00A83122"/>
    <w:rsid w:val="00A85E11"/>
    <w:rsid w:val="00A877C2"/>
    <w:rsid w:val="00A91C64"/>
    <w:rsid w:val="00A92025"/>
    <w:rsid w:val="00AB49D8"/>
    <w:rsid w:val="00AB6986"/>
    <w:rsid w:val="00AD36C1"/>
    <w:rsid w:val="00AD6E4E"/>
    <w:rsid w:val="00AE1913"/>
    <w:rsid w:val="00AF46E1"/>
    <w:rsid w:val="00B119A7"/>
    <w:rsid w:val="00B14536"/>
    <w:rsid w:val="00B17332"/>
    <w:rsid w:val="00B27A12"/>
    <w:rsid w:val="00B31DEF"/>
    <w:rsid w:val="00B33210"/>
    <w:rsid w:val="00B44CEA"/>
    <w:rsid w:val="00B908E1"/>
    <w:rsid w:val="00BA71FA"/>
    <w:rsid w:val="00BD00C5"/>
    <w:rsid w:val="00BD5F1E"/>
    <w:rsid w:val="00BD6848"/>
    <w:rsid w:val="00C4358D"/>
    <w:rsid w:val="00C65859"/>
    <w:rsid w:val="00C74480"/>
    <w:rsid w:val="00C757F4"/>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51F84"/>
    <w:rsid w:val="00D56F1F"/>
    <w:rsid w:val="00D841CF"/>
    <w:rsid w:val="00DA0C1F"/>
    <w:rsid w:val="00DC0133"/>
    <w:rsid w:val="00DC6684"/>
    <w:rsid w:val="00DF1248"/>
    <w:rsid w:val="00E01DE7"/>
    <w:rsid w:val="00E01F00"/>
    <w:rsid w:val="00E14EAD"/>
    <w:rsid w:val="00E20167"/>
    <w:rsid w:val="00E2352B"/>
    <w:rsid w:val="00E33367"/>
    <w:rsid w:val="00E67299"/>
    <w:rsid w:val="00E85A65"/>
    <w:rsid w:val="00E94A9C"/>
    <w:rsid w:val="00E97159"/>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408</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20</cp:revision>
  <cp:lastPrinted>2024-02-23T12:42:00Z</cp:lastPrinted>
  <dcterms:created xsi:type="dcterms:W3CDTF">2023-11-20T14:50:00Z</dcterms:created>
  <dcterms:modified xsi:type="dcterms:W3CDTF">2024-02-23T12:45:00Z</dcterms:modified>
</cp:coreProperties>
</file>