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245"/>
        <w:gridCol w:w="4679"/>
      </w:tblGrid>
      <w:tr w:rsidR="00A37F62"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D5500C" w:rsidRPr="00B90476" w:rsidRDefault="008123A2" w:rsidP="008123A2">
            <w:pPr>
              <w:pStyle w:val="22"/>
              <w:shd w:val="clear" w:color="auto" w:fill="FFFFFF"/>
              <w:spacing w:before="0" w:after="150"/>
              <w:textAlignment w:val="baseline"/>
              <w:outlineLvl w:val="1"/>
            </w:pPr>
            <w:r>
              <w:rPr>
                <w:rFonts w:ascii="Times New Roman" w:hAnsi="Times New Roman"/>
                <w:color w:val="auto"/>
                <w:sz w:val="28"/>
                <w:szCs w:val="28"/>
              </w:rPr>
              <w:t xml:space="preserve">ДК 021:2015 ДК 021:2015   </w:t>
            </w:r>
            <w:r w:rsidRPr="008123A2">
              <w:rPr>
                <w:rFonts w:ascii="Times New Roman" w:hAnsi="Times New Roman"/>
                <w:color w:val="auto"/>
                <w:sz w:val="28"/>
                <w:szCs w:val="28"/>
              </w:rPr>
              <w:t>42120000-7  «Насоси та компресори»</w:t>
            </w: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9F3F6A" w:rsidRDefault="00582E9F" w:rsidP="00C804DB">
            <w:pPr>
              <w:rPr>
                <w:lang w:val="uk-UA"/>
              </w:rPr>
            </w:pPr>
            <w:r w:rsidRPr="00582E9F">
              <w:rPr>
                <w:lang w:val="uk-UA"/>
              </w:rPr>
              <w:t>UA-2024-05-31-008339-a</w:t>
            </w:r>
          </w:p>
        </w:tc>
      </w:tr>
      <w:tr w:rsidR="00A37F62" w:rsidRPr="00582E9F"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2C6F9E" w:rsidRDefault="00582E9F" w:rsidP="00582E9F">
            <w:pPr>
              <w:rPr>
                <w:lang w:val="uk-UA"/>
              </w:rPr>
            </w:pPr>
            <w:r>
              <w:rPr>
                <w:lang w:val="uk-UA"/>
              </w:rPr>
              <w:t>165 000,00</w:t>
            </w:r>
            <w:r w:rsidR="008123A2" w:rsidRPr="008123A2">
              <w:rPr>
                <w:lang w:val="uk-UA"/>
              </w:rPr>
              <w:t xml:space="preserve"> грн</w:t>
            </w:r>
            <w:r w:rsidR="00E85A65">
              <w:rPr>
                <w:lang w:val="uk-UA"/>
              </w:rPr>
              <w:t xml:space="preserve">. </w:t>
            </w:r>
            <w:r w:rsidR="00175086">
              <w:rPr>
                <w:lang w:val="uk-UA"/>
              </w:rPr>
              <w:t xml:space="preserve">     </w:t>
            </w:r>
            <w:r w:rsidR="00E85A65">
              <w:rPr>
                <w:lang w:val="uk-UA"/>
              </w:rPr>
              <w:t>(</w:t>
            </w:r>
            <w:r w:rsidR="008123A2">
              <w:rPr>
                <w:lang w:val="uk-UA"/>
              </w:rPr>
              <w:t xml:space="preserve">сто </w:t>
            </w:r>
            <w:r>
              <w:rPr>
                <w:lang w:val="uk-UA"/>
              </w:rPr>
              <w:t>шістдесят п’ять</w:t>
            </w:r>
            <w:r w:rsidR="001F1F54" w:rsidRPr="001F1F54">
              <w:rPr>
                <w:lang w:val="uk-UA"/>
              </w:rPr>
              <w:t xml:space="preserve"> </w:t>
            </w:r>
            <w:r w:rsidR="00E85A65">
              <w:rPr>
                <w:lang w:val="uk-UA"/>
              </w:rPr>
              <w:t>тисяч</w:t>
            </w:r>
            <w:r w:rsidR="001F1F54" w:rsidRPr="001F1F54">
              <w:rPr>
                <w:lang w:val="uk-UA"/>
              </w:rPr>
              <w:t xml:space="preserve"> грн. </w:t>
            </w:r>
            <w:r>
              <w:rPr>
                <w:lang w:val="uk-UA"/>
              </w:rPr>
              <w:t xml:space="preserve">00 </w:t>
            </w:r>
            <w:r w:rsidR="001F1F54" w:rsidRPr="001F1F54">
              <w:rPr>
                <w:lang w:val="uk-UA"/>
              </w:rPr>
              <w:t>коп.)</w:t>
            </w:r>
          </w:p>
        </w:tc>
      </w:tr>
      <w:tr w:rsidR="005816ED" w:rsidTr="00016D7F">
        <w:trPr>
          <w:trHeight w:val="1777"/>
        </w:trPr>
        <w:tc>
          <w:tcPr>
            <w:tcW w:w="5245" w:type="dxa"/>
          </w:tcPr>
          <w:p w:rsidR="005816ED" w:rsidRPr="002C6F9E" w:rsidRDefault="005816ED" w:rsidP="00310411">
            <w:pPr>
              <w:rPr>
                <w:lang w:val="uk-UA"/>
              </w:rPr>
            </w:pPr>
            <w:r w:rsidRPr="002C6F9E">
              <w:rPr>
                <w:lang w:val="uk-UA"/>
              </w:rPr>
              <w:t>Розмір бюджетного призначення</w:t>
            </w:r>
          </w:p>
        </w:tc>
        <w:tc>
          <w:tcPr>
            <w:tcW w:w="4679" w:type="dxa"/>
          </w:tcPr>
          <w:p w:rsidR="00582E9F" w:rsidRDefault="008123A2" w:rsidP="008123A2">
            <w:pPr>
              <w:rPr>
                <w:lang w:val="uk-UA"/>
              </w:rPr>
            </w:pPr>
            <w:r>
              <w:rPr>
                <w:lang w:val="uk-UA"/>
              </w:rPr>
              <w:t>1</w:t>
            </w:r>
            <w:r w:rsidR="00582E9F">
              <w:rPr>
                <w:lang w:val="uk-UA"/>
              </w:rPr>
              <w:t>65</w:t>
            </w:r>
            <w:r>
              <w:rPr>
                <w:lang w:val="uk-UA"/>
              </w:rPr>
              <w:t xml:space="preserve"> 0</w:t>
            </w:r>
            <w:r w:rsidR="00175086">
              <w:rPr>
                <w:lang w:val="uk-UA"/>
              </w:rPr>
              <w:t>0</w:t>
            </w:r>
            <w:r w:rsidR="00C804DB">
              <w:rPr>
                <w:lang w:val="uk-UA"/>
              </w:rPr>
              <w:t>0</w:t>
            </w:r>
            <w:r w:rsidR="00E85A65">
              <w:rPr>
                <w:lang w:val="uk-UA"/>
              </w:rPr>
              <w:t xml:space="preserve">,00 грн. </w:t>
            </w:r>
            <w:r w:rsidR="00582E9F" w:rsidRPr="00582E9F">
              <w:rPr>
                <w:lang w:val="uk-UA"/>
              </w:rPr>
              <w:t>(сто шістдесят п’ять тисяч грн. 00 коп.)</w:t>
            </w:r>
          </w:p>
          <w:p w:rsidR="005816ED" w:rsidRPr="002B7D0C" w:rsidRDefault="00F450F6" w:rsidP="00582E9F">
            <w:pPr>
              <w:rPr>
                <w:color w:val="000000"/>
                <w:lang w:val="uk-UA" w:eastAsia="uk-UA"/>
              </w:rPr>
            </w:pPr>
            <w:r w:rsidRPr="00F450F6">
              <w:rPr>
                <w:bCs/>
                <w:color w:val="000000"/>
                <w:lang w:val="uk-UA" w:eastAsia="uk-UA"/>
              </w:rPr>
              <w:t xml:space="preserve">Фінансування буде здійснюватися по КПКВ 6521010 за КЕКВ </w:t>
            </w:r>
            <w:r w:rsidR="00C804DB">
              <w:rPr>
                <w:bCs/>
                <w:color w:val="000000"/>
                <w:lang w:val="uk-UA" w:eastAsia="uk-UA"/>
              </w:rPr>
              <w:t>3110</w:t>
            </w:r>
            <w:r w:rsidRPr="00F450F6">
              <w:rPr>
                <w:bCs/>
                <w:color w:val="000000"/>
                <w:lang w:val="uk-UA" w:eastAsia="uk-UA"/>
              </w:rPr>
              <w:t xml:space="preserve"> за рахунок </w:t>
            </w:r>
            <w:r w:rsidR="00175086">
              <w:rPr>
                <w:bCs/>
                <w:color w:val="000000"/>
                <w:lang w:val="uk-UA" w:eastAsia="uk-UA"/>
              </w:rPr>
              <w:t>заг</w:t>
            </w:r>
            <w:r w:rsidRPr="00F450F6">
              <w:rPr>
                <w:bCs/>
                <w:color w:val="000000"/>
                <w:lang w:val="uk-UA" w:eastAsia="uk-UA"/>
              </w:rPr>
              <w:t xml:space="preserve">ального фонду Державного бюджету на суму – </w:t>
            </w:r>
            <w:r w:rsidR="008123A2">
              <w:rPr>
                <w:bCs/>
                <w:color w:val="000000"/>
                <w:lang w:val="uk-UA" w:eastAsia="uk-UA"/>
              </w:rPr>
              <w:t>1</w:t>
            </w:r>
            <w:r w:rsidR="00582E9F">
              <w:rPr>
                <w:bCs/>
                <w:color w:val="000000"/>
                <w:lang w:val="uk-UA" w:eastAsia="uk-UA"/>
              </w:rPr>
              <w:t>65</w:t>
            </w:r>
            <w:r w:rsidR="008123A2">
              <w:rPr>
                <w:bCs/>
                <w:color w:val="000000"/>
                <w:lang w:val="uk-UA" w:eastAsia="uk-UA"/>
              </w:rPr>
              <w:t>0</w:t>
            </w:r>
            <w:r w:rsidR="00175086">
              <w:rPr>
                <w:bCs/>
                <w:color w:val="000000"/>
                <w:lang w:val="uk-UA" w:eastAsia="uk-UA"/>
              </w:rPr>
              <w:t>0</w:t>
            </w:r>
            <w:r w:rsidR="00C804DB">
              <w:rPr>
                <w:bCs/>
                <w:color w:val="000000"/>
                <w:lang w:val="uk-UA" w:eastAsia="uk-UA"/>
              </w:rPr>
              <w:t>0</w:t>
            </w:r>
            <w:r w:rsidR="00E85A65">
              <w:rPr>
                <w:bCs/>
                <w:color w:val="000000"/>
                <w:lang w:val="uk-UA" w:eastAsia="uk-UA"/>
              </w:rPr>
              <w:t>,0</w:t>
            </w:r>
            <w:r w:rsidRPr="00F450F6">
              <w:rPr>
                <w:bCs/>
                <w:color w:val="000000"/>
                <w:lang w:val="uk-UA" w:eastAsia="uk-UA"/>
              </w:rPr>
              <w:t>0 грн</w:t>
            </w:r>
            <w:r w:rsidRPr="003530E8">
              <w:rPr>
                <w:bCs/>
                <w:color w:val="000000"/>
                <w:lang w:val="uk-UA" w:eastAsia="uk-UA"/>
              </w:rPr>
              <w:t xml:space="preserve">. </w:t>
            </w:r>
            <w:r w:rsidR="003F4393">
              <w:rPr>
                <w:bCs/>
                <w:color w:val="000000"/>
                <w:lang w:val="uk-UA" w:eastAsia="uk-UA"/>
              </w:rPr>
              <w:t>на підставі розрахунку кошторису на 2024 рік.</w:t>
            </w:r>
          </w:p>
        </w:tc>
      </w:tr>
    </w:tbl>
    <w:p w:rsidR="006E66BC" w:rsidRDefault="006E66BC" w:rsidP="006E66BC">
      <w:pPr>
        <w:rPr>
          <w:b/>
          <w:sz w:val="28"/>
          <w:szCs w:val="28"/>
          <w:lang w:val="uk-UA"/>
        </w:rPr>
      </w:pPr>
    </w:p>
    <w:p w:rsidR="003530E8" w:rsidRPr="00D101E2" w:rsidRDefault="002D3DD4" w:rsidP="003530E8">
      <w:pPr>
        <w:shd w:val="clear" w:color="auto" w:fill="FFFFFF"/>
        <w:autoSpaceDE w:val="0"/>
        <w:autoSpaceDN w:val="0"/>
        <w:adjustRightInd w:val="0"/>
        <w:spacing w:line="276" w:lineRule="auto"/>
        <w:ind w:firstLine="709"/>
        <w:jc w:val="both"/>
        <w:rPr>
          <w:b/>
          <w:spacing w:val="-4"/>
          <w:lang w:val="uk-UA"/>
        </w:rPr>
      </w:pPr>
      <w:r>
        <w:rPr>
          <w:b/>
          <w:spacing w:val="-4"/>
          <w:sz w:val="28"/>
          <w:szCs w:val="28"/>
          <w:lang w:val="uk-UA"/>
        </w:rPr>
        <w:t xml:space="preserve">               </w:t>
      </w:r>
      <w:r w:rsidR="003530E8" w:rsidRPr="00D101E2">
        <w:rPr>
          <w:b/>
          <w:spacing w:val="-4"/>
          <w:lang w:val="uk-UA"/>
        </w:rPr>
        <w:t>Обґрунтування очікуваної вартості предмета закупівлі</w:t>
      </w:r>
    </w:p>
    <w:p w:rsidR="00584EC9" w:rsidRDefault="003530E8" w:rsidP="00584EC9">
      <w:pPr>
        <w:spacing w:line="276" w:lineRule="auto"/>
        <w:ind w:firstLine="567"/>
        <w:jc w:val="both"/>
        <w:rPr>
          <w:spacing w:val="-4"/>
          <w:lang w:val="uk-UA"/>
        </w:rPr>
      </w:pPr>
      <w:r w:rsidRPr="00D101E2">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w:t>
      </w:r>
      <w:r w:rsidRPr="00D101E2">
        <w:rPr>
          <w:lang w:val="uk-UA" w:eastAsia="en-US"/>
        </w:rPr>
        <w:t xml:space="preserve"> </w:t>
      </w:r>
      <w:r w:rsidRPr="00D101E2">
        <w:rPr>
          <w:spacing w:val="-4"/>
          <w:lang w:val="uk-UA"/>
        </w:rPr>
        <w:t xml:space="preserve">Зокрема </w:t>
      </w:r>
      <w:r w:rsidRPr="00D101E2">
        <w:rPr>
          <w:color w:val="000000"/>
          <w:spacing w:val="-4"/>
          <w:lang w:val="uk-UA"/>
        </w:rPr>
        <w:t xml:space="preserve">проведено дослідження шляхом порівняння </w:t>
      </w:r>
      <w:r w:rsidRPr="00D101E2">
        <w:rPr>
          <w:spacing w:val="-4"/>
          <w:lang w:val="uk-UA"/>
        </w:rPr>
        <w:t xml:space="preserve">комерційних пропозицій, отриманих від організацій, які займаються </w:t>
      </w:r>
      <w:r w:rsidR="00584EC9" w:rsidRPr="00D101E2">
        <w:rPr>
          <w:spacing w:val="-4"/>
          <w:lang w:val="uk-UA"/>
        </w:rPr>
        <w:t>реалізацією зазначених товарів</w:t>
      </w:r>
      <w:r w:rsidR="00584EC9">
        <w:rPr>
          <w:spacing w:val="-4"/>
          <w:lang w:val="uk-UA"/>
        </w:rPr>
        <w:t>.</w:t>
      </w:r>
    </w:p>
    <w:p w:rsidR="00F82B65" w:rsidRDefault="00F82B65" w:rsidP="003530E8">
      <w:pPr>
        <w:shd w:val="clear" w:color="auto" w:fill="FFFFFF"/>
        <w:autoSpaceDE w:val="0"/>
        <w:autoSpaceDN w:val="0"/>
        <w:adjustRightInd w:val="0"/>
        <w:spacing w:line="276" w:lineRule="auto"/>
        <w:jc w:val="both"/>
        <w:rPr>
          <w:spacing w:val="-4"/>
          <w:lang w:val="uk-UA"/>
        </w:rPr>
      </w:pPr>
    </w:p>
    <w:tbl>
      <w:tblPr>
        <w:tblStyle w:val="ad"/>
        <w:tblW w:w="9673" w:type="dxa"/>
        <w:jc w:val="center"/>
        <w:tblLayout w:type="fixed"/>
        <w:tblLook w:val="04A0" w:firstRow="1" w:lastRow="0" w:firstColumn="1" w:lastColumn="0" w:noHBand="0" w:noVBand="1"/>
      </w:tblPr>
      <w:tblGrid>
        <w:gridCol w:w="585"/>
        <w:gridCol w:w="4820"/>
        <w:gridCol w:w="1134"/>
        <w:gridCol w:w="1701"/>
        <w:gridCol w:w="1433"/>
      </w:tblGrid>
      <w:tr w:rsidR="00582E9F" w:rsidRPr="00940878" w:rsidTr="006275FD">
        <w:trPr>
          <w:trHeight w:val="431"/>
          <w:jc w:val="center"/>
        </w:trPr>
        <w:tc>
          <w:tcPr>
            <w:tcW w:w="585" w:type="dxa"/>
            <w:vMerge w:val="restart"/>
            <w:vAlign w:val="center"/>
          </w:tcPr>
          <w:p w:rsidR="00582E9F" w:rsidRPr="00582E9F" w:rsidRDefault="00582E9F" w:rsidP="006275FD">
            <w:pPr>
              <w:jc w:val="center"/>
              <w:rPr>
                <w:sz w:val="24"/>
                <w:szCs w:val="24"/>
                <w:lang w:val="uk-UA"/>
              </w:rPr>
            </w:pPr>
            <w:r w:rsidRPr="00582E9F">
              <w:rPr>
                <w:sz w:val="24"/>
                <w:szCs w:val="24"/>
                <w:lang w:val="uk-UA"/>
              </w:rPr>
              <w:t>№</w:t>
            </w:r>
            <w:r w:rsidRPr="00582E9F">
              <w:rPr>
                <w:sz w:val="24"/>
                <w:szCs w:val="24"/>
                <w:lang w:val="uk-UA"/>
              </w:rPr>
              <w:br/>
              <w:t>з/п</w:t>
            </w:r>
          </w:p>
        </w:tc>
        <w:tc>
          <w:tcPr>
            <w:tcW w:w="4820" w:type="dxa"/>
            <w:vMerge w:val="restart"/>
            <w:vAlign w:val="center"/>
          </w:tcPr>
          <w:p w:rsidR="00582E9F" w:rsidRPr="00582E9F" w:rsidRDefault="00582E9F" w:rsidP="006275FD">
            <w:pPr>
              <w:jc w:val="center"/>
              <w:rPr>
                <w:sz w:val="24"/>
                <w:szCs w:val="24"/>
                <w:lang w:val="uk-UA"/>
              </w:rPr>
            </w:pPr>
            <w:r w:rsidRPr="00582E9F">
              <w:rPr>
                <w:sz w:val="24"/>
                <w:szCs w:val="24"/>
                <w:lang w:val="uk-UA"/>
              </w:rPr>
              <w:t>Найменування</w:t>
            </w:r>
          </w:p>
        </w:tc>
        <w:tc>
          <w:tcPr>
            <w:tcW w:w="1134" w:type="dxa"/>
            <w:vMerge w:val="restart"/>
            <w:tcBorders>
              <w:right w:val="single" w:sz="4" w:space="0" w:color="auto"/>
            </w:tcBorders>
            <w:vAlign w:val="center"/>
          </w:tcPr>
          <w:p w:rsidR="00582E9F" w:rsidRPr="00582E9F" w:rsidRDefault="00582E9F" w:rsidP="006275FD">
            <w:pPr>
              <w:jc w:val="center"/>
              <w:rPr>
                <w:sz w:val="24"/>
                <w:szCs w:val="24"/>
                <w:lang w:val="uk-UA"/>
              </w:rPr>
            </w:pPr>
            <w:r w:rsidRPr="00582E9F">
              <w:rPr>
                <w:sz w:val="24"/>
                <w:szCs w:val="24"/>
                <w:lang w:val="uk-UA"/>
              </w:rPr>
              <w:t>Од.</w:t>
            </w:r>
          </w:p>
          <w:p w:rsidR="00582E9F" w:rsidRPr="00582E9F" w:rsidRDefault="00582E9F" w:rsidP="006275FD">
            <w:pPr>
              <w:jc w:val="center"/>
              <w:rPr>
                <w:sz w:val="24"/>
                <w:szCs w:val="24"/>
                <w:lang w:val="uk-UA"/>
              </w:rPr>
            </w:pPr>
            <w:proofErr w:type="spellStart"/>
            <w:r w:rsidRPr="00582E9F">
              <w:rPr>
                <w:sz w:val="24"/>
                <w:szCs w:val="24"/>
                <w:lang w:val="uk-UA"/>
              </w:rPr>
              <w:t>Вим</w:t>
            </w:r>
            <w:proofErr w:type="spellEnd"/>
            <w:r w:rsidRPr="00582E9F">
              <w:rPr>
                <w:sz w:val="24"/>
                <w:szCs w:val="24"/>
                <w:lang w:val="uk-UA"/>
              </w:rPr>
              <w:t>.</w:t>
            </w:r>
          </w:p>
          <w:p w:rsidR="00582E9F" w:rsidRPr="00582E9F" w:rsidRDefault="00582E9F" w:rsidP="006275FD">
            <w:pPr>
              <w:jc w:val="center"/>
              <w:rPr>
                <w:sz w:val="24"/>
                <w:szCs w:val="24"/>
                <w:lang w:val="uk-UA"/>
              </w:rPr>
            </w:pPr>
            <w:r w:rsidRPr="00582E9F">
              <w:rPr>
                <w:sz w:val="24"/>
                <w:szCs w:val="24"/>
                <w:lang w:val="uk-UA"/>
              </w:rPr>
              <w:t>шт.</w:t>
            </w:r>
          </w:p>
        </w:tc>
        <w:tc>
          <w:tcPr>
            <w:tcW w:w="3134" w:type="dxa"/>
            <w:gridSpan w:val="2"/>
            <w:tcBorders>
              <w:left w:val="single" w:sz="4" w:space="0" w:color="auto"/>
              <w:bottom w:val="single" w:sz="4" w:space="0" w:color="auto"/>
            </w:tcBorders>
            <w:vAlign w:val="center"/>
          </w:tcPr>
          <w:p w:rsidR="00582E9F" w:rsidRPr="00582E9F" w:rsidRDefault="00582E9F" w:rsidP="006275FD">
            <w:pPr>
              <w:jc w:val="center"/>
              <w:rPr>
                <w:sz w:val="24"/>
                <w:szCs w:val="24"/>
                <w:lang w:val="uk-UA"/>
              </w:rPr>
            </w:pPr>
            <w:r w:rsidRPr="00582E9F">
              <w:rPr>
                <w:sz w:val="24"/>
                <w:szCs w:val="24"/>
                <w:lang w:val="uk-UA"/>
              </w:rPr>
              <w:t>Ціна послуги, грн.(з ПДВ)</w:t>
            </w:r>
          </w:p>
        </w:tc>
      </w:tr>
      <w:tr w:rsidR="00582E9F" w:rsidRPr="00940878" w:rsidTr="006275FD">
        <w:trPr>
          <w:trHeight w:val="635"/>
          <w:jc w:val="center"/>
        </w:trPr>
        <w:tc>
          <w:tcPr>
            <w:tcW w:w="585" w:type="dxa"/>
            <w:vMerge/>
          </w:tcPr>
          <w:p w:rsidR="00582E9F" w:rsidRPr="00582E9F" w:rsidRDefault="00582E9F" w:rsidP="006275FD">
            <w:pPr>
              <w:jc w:val="center"/>
              <w:rPr>
                <w:sz w:val="24"/>
                <w:szCs w:val="24"/>
                <w:lang w:val="uk-UA"/>
              </w:rPr>
            </w:pPr>
          </w:p>
        </w:tc>
        <w:tc>
          <w:tcPr>
            <w:tcW w:w="4820" w:type="dxa"/>
            <w:vMerge/>
            <w:vAlign w:val="center"/>
          </w:tcPr>
          <w:p w:rsidR="00582E9F" w:rsidRPr="00582E9F" w:rsidRDefault="00582E9F" w:rsidP="006275FD">
            <w:pPr>
              <w:jc w:val="center"/>
              <w:rPr>
                <w:sz w:val="24"/>
                <w:szCs w:val="24"/>
                <w:lang w:val="uk-UA"/>
              </w:rPr>
            </w:pPr>
          </w:p>
        </w:tc>
        <w:tc>
          <w:tcPr>
            <w:tcW w:w="1134" w:type="dxa"/>
            <w:vMerge/>
            <w:tcBorders>
              <w:right w:val="single" w:sz="4" w:space="0" w:color="auto"/>
            </w:tcBorders>
          </w:tcPr>
          <w:p w:rsidR="00582E9F" w:rsidRPr="00582E9F" w:rsidRDefault="00582E9F" w:rsidP="006275FD">
            <w:pPr>
              <w:jc w:val="center"/>
              <w:rPr>
                <w:sz w:val="24"/>
                <w:szCs w:val="24"/>
                <w:lang w:val="uk-UA"/>
              </w:rPr>
            </w:pPr>
          </w:p>
        </w:tc>
        <w:tc>
          <w:tcPr>
            <w:tcW w:w="1701" w:type="dxa"/>
            <w:tcBorders>
              <w:top w:val="single" w:sz="4" w:space="0" w:color="auto"/>
              <w:left w:val="single" w:sz="4" w:space="0" w:color="auto"/>
            </w:tcBorders>
            <w:vAlign w:val="center"/>
          </w:tcPr>
          <w:p w:rsidR="00582E9F" w:rsidRPr="00582E9F" w:rsidRDefault="00582E9F" w:rsidP="006275FD">
            <w:pPr>
              <w:jc w:val="center"/>
              <w:rPr>
                <w:sz w:val="24"/>
                <w:szCs w:val="24"/>
                <w:lang w:val="uk-UA"/>
              </w:rPr>
            </w:pPr>
            <w:r w:rsidRPr="00582E9F">
              <w:rPr>
                <w:sz w:val="24"/>
                <w:szCs w:val="24"/>
                <w:lang w:val="uk-UA"/>
              </w:rPr>
              <w:t>ТОВ «Інтегровані Водні Технології»</w:t>
            </w:r>
          </w:p>
        </w:tc>
        <w:tc>
          <w:tcPr>
            <w:tcW w:w="1433" w:type="dxa"/>
            <w:tcBorders>
              <w:top w:val="single" w:sz="4" w:space="0" w:color="auto"/>
              <w:left w:val="single" w:sz="4" w:space="0" w:color="auto"/>
              <w:right w:val="single" w:sz="4" w:space="0" w:color="auto"/>
            </w:tcBorders>
            <w:vAlign w:val="center"/>
          </w:tcPr>
          <w:p w:rsidR="00582E9F" w:rsidRPr="00582E9F" w:rsidRDefault="00582E9F" w:rsidP="006275FD">
            <w:pPr>
              <w:jc w:val="center"/>
              <w:rPr>
                <w:sz w:val="24"/>
                <w:szCs w:val="24"/>
                <w:lang w:val="uk-UA"/>
              </w:rPr>
            </w:pPr>
            <w:r w:rsidRPr="00582E9F">
              <w:rPr>
                <w:sz w:val="24"/>
                <w:szCs w:val="24"/>
                <w:lang w:val="uk-UA"/>
              </w:rPr>
              <w:t xml:space="preserve"> Інтернет-магазин</w:t>
            </w:r>
          </w:p>
          <w:p w:rsidR="00582E9F" w:rsidRPr="00582E9F" w:rsidRDefault="00582E9F" w:rsidP="006275FD">
            <w:pPr>
              <w:jc w:val="center"/>
              <w:rPr>
                <w:sz w:val="24"/>
                <w:szCs w:val="24"/>
                <w:lang w:val="uk-UA"/>
              </w:rPr>
            </w:pPr>
            <w:r w:rsidRPr="00582E9F">
              <w:rPr>
                <w:sz w:val="24"/>
                <w:szCs w:val="24"/>
                <w:lang w:val="uk-UA"/>
              </w:rPr>
              <w:t>«</w:t>
            </w:r>
            <w:r w:rsidRPr="00582E9F">
              <w:rPr>
                <w:sz w:val="24"/>
                <w:szCs w:val="24"/>
              </w:rPr>
              <w:t>ONWATER</w:t>
            </w:r>
            <w:r w:rsidRPr="00582E9F">
              <w:rPr>
                <w:sz w:val="24"/>
                <w:szCs w:val="24"/>
                <w:lang w:val="uk-UA"/>
              </w:rPr>
              <w:t>»</w:t>
            </w:r>
          </w:p>
        </w:tc>
      </w:tr>
      <w:tr w:rsidR="00582E9F" w:rsidTr="006275FD">
        <w:trPr>
          <w:jc w:val="center"/>
        </w:trPr>
        <w:tc>
          <w:tcPr>
            <w:tcW w:w="585" w:type="dxa"/>
            <w:vAlign w:val="center"/>
          </w:tcPr>
          <w:p w:rsidR="00582E9F" w:rsidRPr="00582E9F" w:rsidRDefault="00582E9F" w:rsidP="006275FD">
            <w:pPr>
              <w:jc w:val="center"/>
              <w:rPr>
                <w:sz w:val="24"/>
                <w:szCs w:val="24"/>
                <w:lang w:val="uk-UA"/>
              </w:rPr>
            </w:pPr>
            <w:r w:rsidRPr="00582E9F">
              <w:rPr>
                <w:sz w:val="24"/>
                <w:szCs w:val="24"/>
                <w:lang w:val="uk-UA"/>
              </w:rPr>
              <w:t>1</w:t>
            </w:r>
          </w:p>
        </w:tc>
        <w:tc>
          <w:tcPr>
            <w:tcW w:w="4820" w:type="dxa"/>
          </w:tcPr>
          <w:p w:rsidR="00582E9F" w:rsidRPr="00582E9F" w:rsidRDefault="00582E9F" w:rsidP="006275FD">
            <w:pPr>
              <w:rPr>
                <w:sz w:val="24"/>
                <w:szCs w:val="24"/>
                <w:lang w:val="uk-UA"/>
              </w:rPr>
            </w:pPr>
            <w:r w:rsidRPr="00582E9F">
              <w:rPr>
                <w:sz w:val="24"/>
                <w:szCs w:val="24"/>
                <w:lang w:val="uk-UA"/>
              </w:rPr>
              <w:t xml:space="preserve">Насосна станція </w:t>
            </w:r>
            <w:proofErr w:type="spellStart"/>
            <w:r w:rsidRPr="00582E9F">
              <w:rPr>
                <w:sz w:val="24"/>
                <w:szCs w:val="24"/>
              </w:rPr>
              <w:t>Lowara</w:t>
            </w:r>
            <w:proofErr w:type="spellEnd"/>
            <w:r w:rsidRPr="00582E9F">
              <w:rPr>
                <w:sz w:val="24"/>
                <w:szCs w:val="24"/>
                <w:lang w:val="uk-UA"/>
              </w:rPr>
              <w:t xml:space="preserve"> </w:t>
            </w:r>
            <w:r w:rsidRPr="00582E9F">
              <w:rPr>
                <w:sz w:val="24"/>
                <w:szCs w:val="24"/>
              </w:rPr>
              <w:t>GHV</w:t>
            </w:r>
            <w:r w:rsidRPr="00582E9F">
              <w:rPr>
                <w:sz w:val="24"/>
                <w:szCs w:val="24"/>
                <w:lang w:val="uk-UA"/>
              </w:rPr>
              <w:t>20/15</w:t>
            </w:r>
            <w:r w:rsidRPr="00582E9F">
              <w:rPr>
                <w:sz w:val="24"/>
                <w:szCs w:val="24"/>
              </w:rPr>
              <w:t>HM</w:t>
            </w:r>
            <w:r w:rsidRPr="00582E9F">
              <w:rPr>
                <w:sz w:val="24"/>
                <w:szCs w:val="24"/>
                <w:lang w:val="uk-UA"/>
              </w:rPr>
              <w:t>06</w:t>
            </w:r>
            <w:r w:rsidRPr="00582E9F">
              <w:rPr>
                <w:sz w:val="24"/>
                <w:szCs w:val="24"/>
              </w:rPr>
              <w:t>S</w:t>
            </w:r>
            <w:r w:rsidRPr="00582E9F">
              <w:rPr>
                <w:sz w:val="24"/>
                <w:szCs w:val="24"/>
                <w:lang w:val="uk-UA"/>
              </w:rPr>
              <w:t>55</w:t>
            </w:r>
            <w:r w:rsidRPr="00582E9F">
              <w:rPr>
                <w:sz w:val="24"/>
                <w:szCs w:val="24"/>
              </w:rPr>
              <w:t>T</w:t>
            </w:r>
            <w:r w:rsidRPr="00582E9F">
              <w:rPr>
                <w:sz w:val="24"/>
                <w:szCs w:val="24"/>
                <w:lang w:val="uk-UA"/>
              </w:rPr>
              <w:t xml:space="preserve"> </w:t>
            </w:r>
          </w:p>
        </w:tc>
        <w:tc>
          <w:tcPr>
            <w:tcW w:w="1134" w:type="dxa"/>
            <w:vAlign w:val="center"/>
          </w:tcPr>
          <w:p w:rsidR="00582E9F" w:rsidRPr="00582E9F" w:rsidRDefault="00582E9F" w:rsidP="006275FD">
            <w:pPr>
              <w:jc w:val="center"/>
              <w:rPr>
                <w:sz w:val="24"/>
                <w:szCs w:val="24"/>
                <w:lang w:val="uk-UA"/>
              </w:rPr>
            </w:pPr>
            <w:r w:rsidRPr="00582E9F">
              <w:rPr>
                <w:sz w:val="24"/>
                <w:szCs w:val="24"/>
                <w:lang w:val="uk-UA"/>
              </w:rPr>
              <w:t>1</w:t>
            </w:r>
          </w:p>
        </w:tc>
        <w:tc>
          <w:tcPr>
            <w:tcW w:w="1701" w:type="dxa"/>
            <w:vAlign w:val="center"/>
          </w:tcPr>
          <w:p w:rsidR="00582E9F" w:rsidRPr="00582E9F" w:rsidRDefault="00582E9F" w:rsidP="006275FD">
            <w:pPr>
              <w:jc w:val="center"/>
              <w:rPr>
                <w:sz w:val="24"/>
                <w:szCs w:val="24"/>
                <w:lang w:val="uk-UA"/>
              </w:rPr>
            </w:pPr>
            <w:r w:rsidRPr="00582E9F">
              <w:rPr>
                <w:sz w:val="24"/>
                <w:szCs w:val="24"/>
                <w:lang w:val="uk-UA"/>
              </w:rPr>
              <w:t>171 389,00</w:t>
            </w:r>
          </w:p>
        </w:tc>
        <w:tc>
          <w:tcPr>
            <w:tcW w:w="1433" w:type="dxa"/>
            <w:tcBorders>
              <w:left w:val="single" w:sz="4" w:space="0" w:color="auto"/>
              <w:right w:val="single" w:sz="4" w:space="0" w:color="auto"/>
            </w:tcBorders>
            <w:vAlign w:val="center"/>
          </w:tcPr>
          <w:p w:rsidR="00582E9F" w:rsidRPr="00582E9F" w:rsidRDefault="00582E9F" w:rsidP="006275FD">
            <w:pPr>
              <w:jc w:val="center"/>
              <w:rPr>
                <w:sz w:val="24"/>
                <w:szCs w:val="24"/>
              </w:rPr>
            </w:pPr>
            <w:r w:rsidRPr="00582E9F">
              <w:rPr>
                <w:sz w:val="24"/>
                <w:szCs w:val="24"/>
              </w:rPr>
              <w:t>164 560,50</w:t>
            </w:r>
          </w:p>
        </w:tc>
      </w:tr>
      <w:tr w:rsidR="00582E9F" w:rsidTr="006275FD">
        <w:trPr>
          <w:jc w:val="center"/>
        </w:trPr>
        <w:tc>
          <w:tcPr>
            <w:tcW w:w="585" w:type="dxa"/>
            <w:vAlign w:val="center"/>
          </w:tcPr>
          <w:p w:rsidR="00582E9F" w:rsidRPr="00582E9F" w:rsidRDefault="00582E9F" w:rsidP="006275FD">
            <w:pPr>
              <w:jc w:val="center"/>
              <w:rPr>
                <w:sz w:val="24"/>
                <w:szCs w:val="24"/>
                <w:lang w:val="uk-UA"/>
              </w:rPr>
            </w:pPr>
          </w:p>
        </w:tc>
        <w:tc>
          <w:tcPr>
            <w:tcW w:w="5954" w:type="dxa"/>
            <w:gridSpan w:val="2"/>
            <w:tcBorders>
              <w:right w:val="single" w:sz="4" w:space="0" w:color="auto"/>
            </w:tcBorders>
            <w:vAlign w:val="center"/>
          </w:tcPr>
          <w:p w:rsidR="00582E9F" w:rsidRPr="00582E9F" w:rsidRDefault="00582E9F" w:rsidP="006275FD">
            <w:pPr>
              <w:jc w:val="center"/>
              <w:rPr>
                <w:sz w:val="24"/>
                <w:szCs w:val="24"/>
                <w:lang w:val="uk-UA"/>
              </w:rPr>
            </w:pPr>
            <w:r w:rsidRPr="00582E9F">
              <w:rPr>
                <w:sz w:val="24"/>
                <w:szCs w:val="24"/>
                <w:lang w:val="uk-UA"/>
              </w:rPr>
              <w:t>Всього:</w:t>
            </w:r>
          </w:p>
        </w:tc>
        <w:tc>
          <w:tcPr>
            <w:tcW w:w="1701" w:type="dxa"/>
            <w:tcBorders>
              <w:left w:val="single" w:sz="4" w:space="0" w:color="auto"/>
            </w:tcBorders>
            <w:vAlign w:val="center"/>
          </w:tcPr>
          <w:p w:rsidR="00582E9F" w:rsidRPr="00582E9F" w:rsidRDefault="00582E9F" w:rsidP="006275FD">
            <w:pPr>
              <w:jc w:val="center"/>
              <w:rPr>
                <w:sz w:val="24"/>
                <w:szCs w:val="24"/>
              </w:rPr>
            </w:pPr>
            <w:r w:rsidRPr="00582E9F">
              <w:rPr>
                <w:sz w:val="24"/>
                <w:szCs w:val="24"/>
                <w:lang w:val="uk-UA"/>
              </w:rPr>
              <w:t>171 389</w:t>
            </w:r>
            <w:r w:rsidRPr="00582E9F">
              <w:rPr>
                <w:sz w:val="24"/>
                <w:szCs w:val="24"/>
              </w:rPr>
              <w:t>,00</w:t>
            </w:r>
          </w:p>
        </w:tc>
        <w:tc>
          <w:tcPr>
            <w:tcW w:w="1433" w:type="dxa"/>
            <w:tcBorders>
              <w:left w:val="single" w:sz="4" w:space="0" w:color="auto"/>
              <w:right w:val="single" w:sz="4" w:space="0" w:color="auto"/>
            </w:tcBorders>
            <w:vAlign w:val="center"/>
          </w:tcPr>
          <w:p w:rsidR="00582E9F" w:rsidRPr="00582E9F" w:rsidRDefault="00582E9F" w:rsidP="006275FD">
            <w:pPr>
              <w:jc w:val="center"/>
              <w:rPr>
                <w:sz w:val="24"/>
                <w:szCs w:val="24"/>
              </w:rPr>
            </w:pPr>
            <w:r w:rsidRPr="00582E9F">
              <w:rPr>
                <w:sz w:val="24"/>
                <w:szCs w:val="24"/>
              </w:rPr>
              <w:t>164 560,50</w:t>
            </w:r>
          </w:p>
        </w:tc>
      </w:tr>
    </w:tbl>
    <w:p w:rsidR="00582E9F" w:rsidRDefault="00582E9F" w:rsidP="003530E8">
      <w:pPr>
        <w:shd w:val="clear" w:color="auto" w:fill="FFFFFF"/>
        <w:autoSpaceDE w:val="0"/>
        <w:autoSpaceDN w:val="0"/>
        <w:adjustRightInd w:val="0"/>
        <w:spacing w:line="276" w:lineRule="auto"/>
        <w:jc w:val="both"/>
        <w:rPr>
          <w:spacing w:val="-4"/>
          <w:lang w:val="uk-UA"/>
        </w:rPr>
      </w:pPr>
    </w:p>
    <w:p w:rsidR="00EF3D9C" w:rsidRDefault="00EF3D9C" w:rsidP="003530E8">
      <w:pPr>
        <w:shd w:val="clear" w:color="auto" w:fill="FFFFFF"/>
        <w:autoSpaceDE w:val="0"/>
        <w:autoSpaceDN w:val="0"/>
        <w:adjustRightInd w:val="0"/>
        <w:spacing w:line="276" w:lineRule="auto"/>
        <w:jc w:val="both"/>
        <w:rPr>
          <w:color w:val="000000"/>
          <w:lang w:val="uk-UA"/>
        </w:rPr>
      </w:pPr>
      <w:r w:rsidRPr="00EF3D9C">
        <w:rPr>
          <w:color w:val="000000"/>
          <w:lang w:val="uk-UA"/>
        </w:rPr>
        <w:t xml:space="preserve">Таким чином, відповідно до отриманих комерційних пропозицій визначено середню вартість закупівлі, що становить </w:t>
      </w:r>
      <w:r w:rsidR="00582E9F" w:rsidRPr="00582E9F">
        <w:rPr>
          <w:color w:val="000000"/>
          <w:lang w:val="uk-UA"/>
        </w:rPr>
        <w:t>167 974,75</w:t>
      </w:r>
      <w:r w:rsidR="00582E9F">
        <w:rPr>
          <w:color w:val="000000"/>
          <w:lang w:val="uk-UA"/>
        </w:rPr>
        <w:t xml:space="preserve"> </w:t>
      </w:r>
      <w:r w:rsidRPr="00EF3D9C">
        <w:rPr>
          <w:color w:val="000000"/>
          <w:lang w:val="uk-UA"/>
        </w:rPr>
        <w:t>грн.</w:t>
      </w:r>
    </w:p>
    <w:p w:rsidR="00582E9F" w:rsidRPr="00EF3D9C" w:rsidRDefault="00582E9F" w:rsidP="003530E8">
      <w:pPr>
        <w:shd w:val="clear" w:color="auto" w:fill="FFFFFF"/>
        <w:autoSpaceDE w:val="0"/>
        <w:autoSpaceDN w:val="0"/>
        <w:adjustRightInd w:val="0"/>
        <w:spacing w:line="276" w:lineRule="auto"/>
        <w:jc w:val="both"/>
        <w:rPr>
          <w:spacing w:val="-4"/>
          <w:lang w:val="uk-UA"/>
        </w:rPr>
      </w:pPr>
      <w:r>
        <w:rPr>
          <w:color w:val="000000"/>
          <w:lang w:val="uk-UA"/>
        </w:rPr>
        <w:t>Однак враховуючи наявну суму бюджетного забезпечення, очікувана вартість закупівлі становить 165 000,00 грн.</w:t>
      </w:r>
      <w:bookmarkStart w:id="0" w:name="_GoBack"/>
      <w:bookmarkEnd w:id="0"/>
      <w:r>
        <w:rPr>
          <w:color w:val="000000"/>
          <w:lang w:val="uk-UA"/>
        </w:rPr>
        <w:t xml:space="preserve"> </w:t>
      </w:r>
    </w:p>
    <w:p w:rsidR="00584EC9" w:rsidRPr="00EF3D9C" w:rsidRDefault="00584EC9" w:rsidP="003530E8">
      <w:pPr>
        <w:shd w:val="clear" w:color="auto" w:fill="FFFFFF"/>
        <w:autoSpaceDE w:val="0"/>
        <w:autoSpaceDN w:val="0"/>
        <w:adjustRightInd w:val="0"/>
        <w:spacing w:line="276" w:lineRule="auto"/>
        <w:jc w:val="both"/>
        <w:rPr>
          <w:spacing w:val="-4"/>
          <w:lang w:val="uk-UA"/>
        </w:rPr>
      </w:pPr>
    </w:p>
    <w:p w:rsidR="003530E8" w:rsidRPr="00D101E2" w:rsidRDefault="003530E8" w:rsidP="003530E8">
      <w:pPr>
        <w:spacing w:line="276" w:lineRule="auto"/>
        <w:jc w:val="center"/>
        <w:rPr>
          <w:b/>
          <w:spacing w:val="-4"/>
          <w:lang w:val="uk-UA"/>
        </w:rPr>
      </w:pPr>
      <w:r w:rsidRPr="00D101E2">
        <w:rPr>
          <w:b/>
          <w:spacing w:val="-4"/>
          <w:lang w:val="uk-UA"/>
        </w:rPr>
        <w:t>Обґрунтування технічних та якісних характеристик предмета закупівлі</w:t>
      </w:r>
    </w:p>
    <w:p w:rsidR="00F82B65" w:rsidRPr="00B90476" w:rsidRDefault="00F82B65" w:rsidP="003530E8">
      <w:pPr>
        <w:tabs>
          <w:tab w:val="left" w:pos="540"/>
          <w:tab w:val="left" w:pos="709"/>
          <w:tab w:val="left" w:pos="851"/>
          <w:tab w:val="left" w:pos="993"/>
        </w:tabs>
        <w:spacing w:line="276" w:lineRule="auto"/>
        <w:ind w:firstLine="567"/>
        <w:jc w:val="both"/>
        <w:rPr>
          <w:spacing w:val="-4"/>
        </w:rPr>
      </w:pPr>
    </w:p>
    <w:p w:rsidR="003530E8" w:rsidRPr="00D101E2" w:rsidRDefault="003530E8" w:rsidP="003530E8">
      <w:pPr>
        <w:tabs>
          <w:tab w:val="left" w:pos="540"/>
          <w:tab w:val="left" w:pos="709"/>
          <w:tab w:val="left" w:pos="851"/>
          <w:tab w:val="left" w:pos="993"/>
        </w:tabs>
        <w:spacing w:line="276" w:lineRule="auto"/>
        <w:ind w:firstLine="567"/>
        <w:jc w:val="both"/>
        <w:rPr>
          <w:spacing w:val="-4"/>
          <w:lang w:val="uk-UA"/>
        </w:rPr>
      </w:pPr>
      <w:r w:rsidRPr="00D101E2">
        <w:rPr>
          <w:spacing w:val="-4"/>
          <w:lang w:val="uk-UA"/>
        </w:rPr>
        <w:t xml:space="preserve">Технічні та якісні характеристики  предмета закупівлі визначені відповідно до потреб та з метою організації діяльності Замовника з урахуванням вимог нормативних документів у сфері стандартизації.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t>Учасник повинен забезпечувати заходи із захисту довкілля для мінімізації негативного впливу на навколишнє середовище.</w:t>
      </w:r>
    </w:p>
    <w:p w:rsidR="003530E8" w:rsidRPr="00D101E2" w:rsidRDefault="003530E8" w:rsidP="003530E8">
      <w:pPr>
        <w:tabs>
          <w:tab w:val="left" w:pos="540"/>
          <w:tab w:val="left" w:pos="709"/>
          <w:tab w:val="left" w:pos="851"/>
          <w:tab w:val="left" w:pos="993"/>
        </w:tabs>
        <w:spacing w:line="276" w:lineRule="auto"/>
        <w:ind w:firstLine="567"/>
        <w:jc w:val="both"/>
        <w:rPr>
          <w:color w:val="000000"/>
          <w:lang w:val="uk-UA"/>
        </w:rPr>
      </w:pPr>
      <w:r w:rsidRPr="00D101E2">
        <w:rPr>
          <w:color w:val="000000"/>
          <w:lang w:val="uk-UA"/>
        </w:rPr>
        <w:lastRenderedPageBreak/>
        <w:t>Специфікація підготовлена з дотриманням принципів здійснення публічних закупівель, в тому числі недискримінації учасників.</w:t>
      </w: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Левченко Микола Володимирович</w:t>
      </w:r>
      <w:r w:rsidR="00852685" w:rsidRPr="00E85A65">
        <w:rPr>
          <w:color w:val="00000A"/>
          <w:lang w:val="uk-UA"/>
        </w:rPr>
        <w:t>, тел: 0</w:t>
      </w:r>
      <w:r w:rsidR="006E5CB3" w:rsidRPr="006E5CB3">
        <w:rPr>
          <w:color w:val="00000A"/>
        </w:rPr>
        <w:t>48</w:t>
      </w:r>
      <w:r w:rsidR="00852685" w:rsidRPr="00E85A65">
        <w:rPr>
          <w:color w:val="00000A"/>
          <w:lang w:val="uk-UA"/>
        </w:rPr>
        <w:t>-</w:t>
      </w:r>
      <w:r w:rsidR="006E5CB3" w:rsidRPr="006E5CB3">
        <w:rPr>
          <w:color w:val="00000A"/>
        </w:rPr>
        <w:t>779</w:t>
      </w:r>
      <w:r w:rsidR="00E85A65" w:rsidRPr="00E85A65">
        <w:rPr>
          <w:color w:val="00000A"/>
          <w:lang w:val="uk-UA"/>
        </w:rPr>
        <w:t>-</w:t>
      </w:r>
      <w:r w:rsidR="006E5CB3" w:rsidRPr="006E5CB3">
        <w:rPr>
          <w:color w:val="00000A"/>
        </w:rPr>
        <w:t>27</w:t>
      </w:r>
      <w:r w:rsidR="00852685" w:rsidRPr="00E85A65">
        <w:rPr>
          <w:color w:val="00000A"/>
          <w:lang w:val="uk-UA"/>
        </w:rPr>
        <w:t>-</w:t>
      </w:r>
      <w:r w:rsidR="00E85A65" w:rsidRPr="00E85A65">
        <w:rPr>
          <w:color w:val="00000A"/>
          <w:lang w:val="uk-UA"/>
        </w:rPr>
        <w:t>5</w:t>
      </w:r>
      <w:r w:rsidR="006E5CB3" w:rsidRPr="006E5CB3">
        <w:rPr>
          <w:color w:val="00000A"/>
        </w:rPr>
        <w:t>0</w:t>
      </w:r>
      <w:r w:rsidR="00852685" w:rsidRPr="00E85A65">
        <w:rPr>
          <w:color w:val="00000A"/>
          <w:lang w:val="uk-UA"/>
        </w:rPr>
        <w:t xml:space="preserve">; електронна адреса: </w:t>
      </w:r>
      <w:r w:rsidR="00E85A65" w:rsidRPr="00E85A65">
        <w:rPr>
          <w:rStyle w:val="a8"/>
          <w:rFonts w:eastAsiaTheme="majorEastAsia"/>
          <w:color w:val="auto"/>
          <w:lang w:val="uk-UA"/>
        </w:rPr>
        <w:t>1.engineer.2023</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sectPr w:rsidR="00A37F62"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Microsoft YaHei"/>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AC5BEA"/>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064E078"/>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8E06158"/>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2BA49F00"/>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3F90ED60"/>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DAB8FC"/>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830B2"/>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005826"/>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D4BF84"/>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E0E4324E"/>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9C28564E"/>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505C70AA"/>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9C1C88CE"/>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42CAA6C8"/>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C3A4E31A"/>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2"/>
  </w:num>
  <w:num w:numId="33">
    <w:abstractNumId w:val="14"/>
  </w:num>
  <w:num w:numId="34">
    <w:abstractNumId w:val="13"/>
  </w:num>
  <w:num w:numId="3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D36C1"/>
    <w:rsid w:val="00005CC2"/>
    <w:rsid w:val="00007E8C"/>
    <w:rsid w:val="00016D7F"/>
    <w:rsid w:val="00060E17"/>
    <w:rsid w:val="00072147"/>
    <w:rsid w:val="00096C83"/>
    <w:rsid w:val="000A1B9B"/>
    <w:rsid w:val="000C6984"/>
    <w:rsid w:val="000E16EB"/>
    <w:rsid w:val="000E4155"/>
    <w:rsid w:val="00102CC5"/>
    <w:rsid w:val="00124739"/>
    <w:rsid w:val="001321CC"/>
    <w:rsid w:val="00134A4D"/>
    <w:rsid w:val="00150E1E"/>
    <w:rsid w:val="00152270"/>
    <w:rsid w:val="001645CC"/>
    <w:rsid w:val="00175086"/>
    <w:rsid w:val="00184CA4"/>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6F9E"/>
    <w:rsid w:val="002D3DD4"/>
    <w:rsid w:val="002E776B"/>
    <w:rsid w:val="00310411"/>
    <w:rsid w:val="00333E38"/>
    <w:rsid w:val="003530E8"/>
    <w:rsid w:val="003638CD"/>
    <w:rsid w:val="00374CFC"/>
    <w:rsid w:val="003757B2"/>
    <w:rsid w:val="003847AE"/>
    <w:rsid w:val="00386FEC"/>
    <w:rsid w:val="00393933"/>
    <w:rsid w:val="003A356E"/>
    <w:rsid w:val="003C4CA5"/>
    <w:rsid w:val="003E0B9B"/>
    <w:rsid w:val="003F25FA"/>
    <w:rsid w:val="003F4393"/>
    <w:rsid w:val="003F7114"/>
    <w:rsid w:val="004722FD"/>
    <w:rsid w:val="00486661"/>
    <w:rsid w:val="004912C7"/>
    <w:rsid w:val="004A5EEF"/>
    <w:rsid w:val="004A7AEA"/>
    <w:rsid w:val="004D1C2C"/>
    <w:rsid w:val="004E130B"/>
    <w:rsid w:val="00524445"/>
    <w:rsid w:val="005257A1"/>
    <w:rsid w:val="00530428"/>
    <w:rsid w:val="00543DB7"/>
    <w:rsid w:val="005816ED"/>
    <w:rsid w:val="0058188C"/>
    <w:rsid w:val="00582E9F"/>
    <w:rsid w:val="00584EC9"/>
    <w:rsid w:val="005B0913"/>
    <w:rsid w:val="005E5CC6"/>
    <w:rsid w:val="0061362E"/>
    <w:rsid w:val="006139EB"/>
    <w:rsid w:val="00625DAD"/>
    <w:rsid w:val="00627D15"/>
    <w:rsid w:val="00634ECE"/>
    <w:rsid w:val="0064599B"/>
    <w:rsid w:val="00650421"/>
    <w:rsid w:val="006C1F27"/>
    <w:rsid w:val="006D459F"/>
    <w:rsid w:val="006E4995"/>
    <w:rsid w:val="006E5CB3"/>
    <w:rsid w:val="006E66BC"/>
    <w:rsid w:val="006F501A"/>
    <w:rsid w:val="00705701"/>
    <w:rsid w:val="0070618C"/>
    <w:rsid w:val="00710C73"/>
    <w:rsid w:val="00715054"/>
    <w:rsid w:val="0073315E"/>
    <w:rsid w:val="00741F13"/>
    <w:rsid w:val="007732A3"/>
    <w:rsid w:val="007810AA"/>
    <w:rsid w:val="00785B71"/>
    <w:rsid w:val="00793FB3"/>
    <w:rsid w:val="007A0D9B"/>
    <w:rsid w:val="007E135E"/>
    <w:rsid w:val="007F3A16"/>
    <w:rsid w:val="008123A2"/>
    <w:rsid w:val="00822BFB"/>
    <w:rsid w:val="0083029F"/>
    <w:rsid w:val="008317E8"/>
    <w:rsid w:val="00846469"/>
    <w:rsid w:val="00852685"/>
    <w:rsid w:val="00860D0F"/>
    <w:rsid w:val="00863033"/>
    <w:rsid w:val="008B5FFA"/>
    <w:rsid w:val="008D6F05"/>
    <w:rsid w:val="008E08CD"/>
    <w:rsid w:val="00901B0D"/>
    <w:rsid w:val="00910ACC"/>
    <w:rsid w:val="009123CC"/>
    <w:rsid w:val="00941231"/>
    <w:rsid w:val="00946AF3"/>
    <w:rsid w:val="00957CA3"/>
    <w:rsid w:val="009B4B9B"/>
    <w:rsid w:val="009C42CA"/>
    <w:rsid w:val="009C6C2A"/>
    <w:rsid w:val="009D541B"/>
    <w:rsid w:val="009F3F6A"/>
    <w:rsid w:val="00A018BE"/>
    <w:rsid w:val="00A24C6B"/>
    <w:rsid w:val="00A37F62"/>
    <w:rsid w:val="00A60145"/>
    <w:rsid w:val="00A71FD8"/>
    <w:rsid w:val="00A75C73"/>
    <w:rsid w:val="00A83122"/>
    <w:rsid w:val="00A85E11"/>
    <w:rsid w:val="00A877C2"/>
    <w:rsid w:val="00A91C64"/>
    <w:rsid w:val="00A92025"/>
    <w:rsid w:val="00AB49D8"/>
    <w:rsid w:val="00AB6986"/>
    <w:rsid w:val="00AD36C1"/>
    <w:rsid w:val="00AD6E4E"/>
    <w:rsid w:val="00AE1913"/>
    <w:rsid w:val="00B119A7"/>
    <w:rsid w:val="00B17332"/>
    <w:rsid w:val="00B27A12"/>
    <w:rsid w:val="00B33210"/>
    <w:rsid w:val="00B44CEA"/>
    <w:rsid w:val="00B90476"/>
    <w:rsid w:val="00B908E1"/>
    <w:rsid w:val="00BA71FA"/>
    <w:rsid w:val="00BD00C5"/>
    <w:rsid w:val="00BD6848"/>
    <w:rsid w:val="00BF3B89"/>
    <w:rsid w:val="00C4358D"/>
    <w:rsid w:val="00C65859"/>
    <w:rsid w:val="00C74480"/>
    <w:rsid w:val="00C804DB"/>
    <w:rsid w:val="00C849CD"/>
    <w:rsid w:val="00C8570D"/>
    <w:rsid w:val="00CA6949"/>
    <w:rsid w:val="00CB0D84"/>
    <w:rsid w:val="00CD5BC9"/>
    <w:rsid w:val="00CD7CDB"/>
    <w:rsid w:val="00CE0A42"/>
    <w:rsid w:val="00CE43E7"/>
    <w:rsid w:val="00D101E2"/>
    <w:rsid w:val="00D10B17"/>
    <w:rsid w:val="00D25ACB"/>
    <w:rsid w:val="00D27118"/>
    <w:rsid w:val="00D44289"/>
    <w:rsid w:val="00D45F47"/>
    <w:rsid w:val="00D479DB"/>
    <w:rsid w:val="00D5500C"/>
    <w:rsid w:val="00D841CF"/>
    <w:rsid w:val="00DA0C1F"/>
    <w:rsid w:val="00DC0133"/>
    <w:rsid w:val="00DC6684"/>
    <w:rsid w:val="00E01DE7"/>
    <w:rsid w:val="00E01F00"/>
    <w:rsid w:val="00E14EAD"/>
    <w:rsid w:val="00E67299"/>
    <w:rsid w:val="00E85A65"/>
    <w:rsid w:val="00EF3D9C"/>
    <w:rsid w:val="00EF72CE"/>
    <w:rsid w:val="00F026DE"/>
    <w:rsid w:val="00F06651"/>
    <w:rsid w:val="00F13AEF"/>
    <w:rsid w:val="00F450F6"/>
    <w:rsid w:val="00F45647"/>
    <w:rsid w:val="00F73CA6"/>
    <w:rsid w:val="00F7552E"/>
    <w:rsid w:val="00F82B65"/>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76315C-1169-4FEF-8D7B-0D8EE95F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2"/>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character" w:customStyle="1" w:styleId="23">
    <w:name w:val="Заголовок 2 Знак"/>
    <w:basedOn w:val="a4"/>
    <w:link w:val="22"/>
    <w:uiPriority w:val="9"/>
    <w:locked/>
    <w:rsid w:val="008317E8"/>
    <w:rPr>
      <w:rFonts w:asciiTheme="majorHAnsi" w:eastAsiaTheme="majorEastAsia" w:hAnsiTheme="majorHAnsi" w:cs="Times New Roman"/>
      <w:color w:val="1F4D78" w:themeColor="accent1" w:themeShade="7F"/>
      <w:sz w:val="24"/>
      <w:szCs w:val="24"/>
      <w:lang w:val="ru-RU" w:eastAsia="ru-RU"/>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sid w:val="000A1B9B"/>
    <w:rPr>
      <w:rFonts w:asciiTheme="majorHAnsi" w:eastAsiaTheme="majorEastAsia" w:hAnsiTheme="majorHAnsi" w:cs="Times New Roman"/>
      <w:sz w:val="22"/>
      <w:szCs w:val="22"/>
      <w:lang w:val="ru-RU" w:eastAsia="ru-RU"/>
    </w:rPr>
  </w:style>
  <w:style w:type="paragraph" w:customStyle="1" w:styleId="13">
    <w:name w:val="Заголовок таблицы ссылок1"/>
    <w:basedOn w:val="a3"/>
    <w:next w:val="a3"/>
    <w:uiPriority w:val="99"/>
    <w:semiHidden/>
    <w:rsid w:val="008317E8"/>
    <w:pPr>
      <w:spacing w:before="120"/>
    </w:pPr>
    <w:rPr>
      <w:rFonts w:ascii="Calibri Light" w:hAnsi="Calibri Light"/>
      <w:b/>
      <w:bCs/>
      <w:lang w:val="uk-UA"/>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table" w:styleId="ad">
    <w:name w:val="Table Grid"/>
    <w:basedOn w:val="a5"/>
    <w:uiPriority w:val="5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3"/>
    <w:next w:val="a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3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31"/>
      </w:numPr>
      <w:spacing w:after="120"/>
      <w:jc w:val="both"/>
    </w:pPr>
    <w:rPr>
      <w:lang w:val="uk-UA"/>
    </w:rPr>
  </w:style>
  <w:style w:type="paragraph" w:customStyle="1" w:styleId="a2">
    <w:name w:val="Номер"/>
    <w:basedOn w:val="a3"/>
    <w:uiPriority w:val="99"/>
    <w:qFormat/>
    <w:rsid w:val="008317E8"/>
    <w:pPr>
      <w:numPr>
        <w:numId w:val="3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eastAsia="ru-RU"/>
    </w:rPr>
  </w:style>
  <w:style w:type="character" w:customStyle="1" w:styleId="rvts0">
    <w:name w:val="rvts0"/>
    <w:rsid w:val="008317E8"/>
  </w:style>
  <w:style w:type="paragraph" w:styleId="af2">
    <w:name w:val="header"/>
    <w:basedOn w:val="a3"/>
    <w:link w:val="af3"/>
    <w:uiPriority w:val="99"/>
    <w:rsid w:val="008317E8"/>
    <w:pPr>
      <w:tabs>
        <w:tab w:val="center" w:pos="4819"/>
        <w:tab w:val="right" w:pos="9639"/>
      </w:tabs>
    </w:pPr>
    <w:rPr>
      <w:lang w:val="uk-UA"/>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eastAsia="ru-RU"/>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eastAsia="ru-RU"/>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character" w:customStyle="1" w:styleId="afa">
    <w:name w:val="Название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eastAsia="ru-RU"/>
    </w:rPr>
  </w:style>
  <w:style w:type="paragraph" w:styleId="aff">
    <w:name w:val="TOC Heading"/>
    <w:basedOn w:val="11"/>
    <w:next w:val="a3"/>
    <w:uiPriority w:val="39"/>
    <w:semiHidden/>
    <w:qFormat/>
    <w:rsid w:val="008317E8"/>
    <w:pPr>
      <w:outlineLvl w:val="9"/>
    </w:pPr>
    <w:rPr>
      <w:lang w:val="uk-UA"/>
    </w:rPr>
  </w:style>
  <w:style w:type="paragraph" w:styleId="aff0">
    <w:name w:val="Body Text"/>
    <w:basedOn w:val="a3"/>
    <w:link w:val="aff1"/>
    <w:uiPriority w:val="99"/>
    <w:unhideWhenUsed/>
    <w:rsid w:val="008317E8"/>
    <w:pPr>
      <w:spacing w:after="120"/>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eastAsia="ru-RU"/>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eastAsia="ru-RU"/>
    </w:rPr>
  </w:style>
  <w:style w:type="paragraph" w:styleId="a">
    <w:name w:val="List Bullet"/>
    <w:basedOn w:val="a3"/>
    <w:uiPriority w:val="99"/>
    <w:semiHidden/>
    <w:unhideWhenUsed/>
    <w:rsid w:val="008317E8"/>
    <w:pPr>
      <w:numPr>
        <w:numId w:val="8"/>
      </w:numPr>
      <w:tabs>
        <w:tab w:val="clear" w:pos="926"/>
        <w:tab w:val="num" w:pos="1209"/>
      </w:tabs>
      <w:ind w:left="360"/>
      <w:contextualSpacing/>
    </w:pPr>
    <w:rPr>
      <w:lang w:val="uk-UA"/>
    </w:rPr>
  </w:style>
  <w:style w:type="paragraph" w:styleId="2">
    <w:name w:val="List Bullet 2"/>
    <w:basedOn w:val="a3"/>
    <w:uiPriority w:val="99"/>
    <w:semiHidden/>
    <w:unhideWhenUsed/>
    <w:rsid w:val="008317E8"/>
    <w:pPr>
      <w:numPr>
        <w:numId w:val="9"/>
      </w:numPr>
      <w:tabs>
        <w:tab w:val="clear" w:pos="1209"/>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clear" w:pos="1492"/>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clear" w:pos="643"/>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clear" w:pos="926"/>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clear" w:pos="1209"/>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clear" w:pos="1492"/>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clear" w:pos="643"/>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Обычный (веб) Знак1 Зна"/>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eastAsia="ru-RU"/>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eastAsia="ru-RU"/>
    </w:rPr>
  </w:style>
  <w:style w:type="paragraph" w:styleId="aff8">
    <w:name w:val="table of figures"/>
    <w:basedOn w:val="a3"/>
    <w:next w:val="a3"/>
    <w:uiPriority w:val="99"/>
    <w:semiHidden/>
    <w:unhideWhenUsed/>
    <w:rsid w:val="008317E8"/>
    <w:rPr>
      <w:lang w:val="uk-UA"/>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eastAsia="ru-RU"/>
    </w:rPr>
  </w:style>
  <w:style w:type="paragraph" w:styleId="affc">
    <w:name w:val="List Continue"/>
    <w:basedOn w:val="a3"/>
    <w:uiPriority w:val="99"/>
    <w:semiHidden/>
    <w:unhideWhenUsed/>
    <w:rsid w:val="008317E8"/>
    <w:pPr>
      <w:spacing w:after="120"/>
      <w:ind w:left="283"/>
      <w:contextualSpacing/>
    </w:pPr>
    <w:rPr>
      <w:lang w:val="uk-UA"/>
    </w:rPr>
  </w:style>
  <w:style w:type="paragraph" w:styleId="affd">
    <w:name w:val="Salutation"/>
    <w:basedOn w:val="a3"/>
    <w:next w:val="a3"/>
    <w:link w:val="affe"/>
    <w:uiPriority w:val="99"/>
    <w:semiHidden/>
    <w:unhideWhenUsed/>
    <w:rsid w:val="008317E8"/>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eastAsia="ru-RU"/>
    </w:rPr>
  </w:style>
  <w:style w:type="paragraph" w:styleId="2e">
    <w:name w:val="List Continue 2"/>
    <w:basedOn w:val="a3"/>
    <w:uiPriority w:val="99"/>
    <w:semiHidden/>
    <w:unhideWhenUsed/>
    <w:rsid w:val="008317E8"/>
    <w:pPr>
      <w:spacing w:after="120"/>
      <w:ind w:left="566"/>
      <w:contextualSpacing/>
    </w:pPr>
    <w:rPr>
      <w:lang w:val="uk-UA"/>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eastAsia="ru-RU"/>
    </w:rPr>
  </w:style>
  <w:style w:type="paragraph" w:styleId="2f">
    <w:name w:val="List 2"/>
    <w:basedOn w:val="a3"/>
    <w:uiPriority w:val="99"/>
    <w:semiHidden/>
    <w:rsid w:val="008317E8"/>
    <w:pPr>
      <w:ind w:left="566" w:hanging="283"/>
      <w:contextualSpacing/>
    </w:pPr>
    <w:rPr>
      <w:lang w:val="uk-UA"/>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eastAsia="ru-RU"/>
    </w:rPr>
  </w:style>
  <w:style w:type="paragraph" w:styleId="afff3">
    <w:name w:val="table of authorities"/>
    <w:basedOn w:val="a3"/>
    <w:next w:val="a3"/>
    <w:uiPriority w:val="99"/>
    <w:semiHidden/>
    <w:unhideWhenUsed/>
    <w:rsid w:val="008317E8"/>
    <w:pPr>
      <w:ind w:left="240" w:hanging="240"/>
    </w:pPr>
    <w:rPr>
      <w:lang w:val="uk-UA"/>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eastAsia="ru-RU"/>
    </w:rPr>
  </w:style>
  <w:style w:type="paragraph" w:styleId="afff6">
    <w:name w:val="endnote text"/>
    <w:basedOn w:val="a3"/>
    <w:link w:val="afff7"/>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eastAsia="ru-RU"/>
    </w:rPr>
  </w:style>
  <w:style w:type="paragraph" w:styleId="afffc">
    <w:name w:val="footnote text"/>
    <w:basedOn w:val="a3"/>
    <w:link w:val="afffd"/>
    <w:uiPriority w:val="99"/>
    <w:unhideWhenUsed/>
    <w:rsid w:val="008317E8"/>
    <w:rPr>
      <w:sz w:val="20"/>
      <w:szCs w:val="20"/>
      <w:lang w:val="uk-UA"/>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eastAsia="ru-RU"/>
    </w:rPr>
  </w:style>
  <w:style w:type="paragraph" w:styleId="1c">
    <w:name w:val="index 1"/>
    <w:basedOn w:val="a3"/>
    <w:next w:val="a3"/>
    <w:autoRedefine/>
    <w:uiPriority w:val="99"/>
    <w:semiHidden/>
    <w:unhideWhenUsed/>
    <w:rsid w:val="008317E8"/>
    <w:pPr>
      <w:ind w:left="240" w:hanging="240"/>
    </w:pPr>
    <w:rPr>
      <w:lang w:val="uk-UA"/>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affff1"/>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affff1">
    <w:name w:val="Шапка Знак"/>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character" w:customStyle="1" w:styleId="212">
    <w:name w:val="Цитата 2 Знак1"/>
    <w:basedOn w:val="a4"/>
    <w:link w:val="1f"/>
    <w:uiPriority w:val="29"/>
    <w:locked/>
    <w:rsid w:val="000A1B9B"/>
    <w:rPr>
      <w:rFonts w:ascii="Times New Roman" w:hAnsi="Times New Roman" w:cs="Times New Roman"/>
      <w:i/>
      <w:iCs/>
      <w:color w:val="404040" w:themeColor="text1" w:themeTint="BF"/>
      <w:sz w:val="24"/>
      <w:szCs w:val="24"/>
      <w:lang w:val="ru-RU" w:eastAsia="ru-RU"/>
    </w:rPr>
  </w:style>
  <w:style w:type="paragraph" w:customStyle="1" w:styleId="1f">
    <w:name w:val="Шапка1"/>
    <w:basedOn w:val="a3"/>
    <w:next w:val="affff0"/>
    <w:link w:val="212"/>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eastAsia="ru-RU"/>
    </w:rPr>
  </w:style>
  <w:style w:type="character" w:customStyle="1" w:styleId="grame">
    <w:name w:val="grame"/>
    <w:basedOn w:val="a4"/>
    <w:rsid w:val="008317E8"/>
    <w:rPr>
      <w:rFonts w:cs="Times New Roman"/>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0">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eastAsia="ru-RU"/>
    </w:rPr>
  </w:style>
  <w:style w:type="character" w:customStyle="1" w:styleId="2f1">
    <w:name w:val="Нижний колонтитул Знак2"/>
    <w:qFormat/>
    <w:rsid w:val="008317E8"/>
    <w:rPr>
      <w:sz w:val="24"/>
      <w:lang w:val="uk-UA"/>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1">
    <w:name w:val="Основной шрифт абзаца1"/>
    <w:rsid w:val="008317E8"/>
  </w:style>
  <w:style w:type="character" w:customStyle="1" w:styleId="affff5">
    <w:name w:val="Знак Знак"/>
    <w:rsid w:val="008317E8"/>
    <w:rPr>
      <w:sz w:val="26"/>
      <w:lang w:val="ru-RU"/>
    </w:rPr>
  </w:style>
  <w:style w:type="character" w:customStyle="1" w:styleId="affff6">
    <w:name w:val="Основний текст_"/>
    <w:rsid w:val="008317E8"/>
    <w:rPr>
      <w:sz w:val="18"/>
      <w:lang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2">
    <w:name w:val="Название1"/>
    <w:basedOn w:val="a3"/>
    <w:rsid w:val="008317E8"/>
    <w:pPr>
      <w:suppressLineNumbers/>
      <w:spacing w:before="120" w:after="120"/>
    </w:pPr>
    <w:rPr>
      <w:rFonts w:cs="Mangal"/>
      <w:i/>
      <w:iCs/>
      <w:lang w:eastAsia="ar-SA"/>
    </w:rPr>
  </w:style>
  <w:style w:type="paragraph" w:customStyle="1" w:styleId="1f3">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4">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5">
    <w:name w:val="Знак Знак1 Знак"/>
    <w:basedOn w:val="a3"/>
    <w:rsid w:val="008317E8"/>
    <w:rPr>
      <w:rFonts w:ascii="Verdana" w:hAnsi="Verdana" w:cs="Verdana"/>
      <w:sz w:val="20"/>
      <w:szCs w:val="20"/>
      <w:lang w:val="en-US" w:eastAsia="ar-SA"/>
    </w:rPr>
  </w:style>
  <w:style w:type="paragraph" w:customStyle="1" w:styleId="1f6">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eastAsia="ru-RU"/>
    </w:rPr>
  </w:style>
  <w:style w:type="character" w:customStyle="1" w:styleId="color-name">
    <w:name w:val="color-name"/>
    <w:rsid w:val="008317E8"/>
  </w:style>
  <w:style w:type="character" w:customStyle="1" w:styleId="1f7">
    <w:name w:val="Знак Знак1"/>
    <w:rsid w:val="008317E8"/>
    <w:rPr>
      <w:sz w:val="26"/>
      <w:lang w:val="ru-RU"/>
    </w:rPr>
  </w:style>
  <w:style w:type="paragraph" w:customStyle="1" w:styleId="1f8">
    <w:name w:val="1"/>
    <w:basedOn w:val="a3"/>
    <w:next w:val="aff0"/>
    <w:rsid w:val="008317E8"/>
    <w:pPr>
      <w:keepNext/>
      <w:spacing w:before="240" w:after="120"/>
    </w:pPr>
    <w:rPr>
      <w:rFonts w:ascii="Arial" w:hAnsi="Arial" w:cs="Mangal"/>
      <w:sz w:val="28"/>
      <w:szCs w:val="28"/>
      <w:lang w:eastAsia="ar-SA"/>
    </w:rPr>
  </w:style>
  <w:style w:type="paragraph" w:customStyle="1" w:styleId="111">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2">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table" w:customStyle="1" w:styleId="TableNormal">
    <w:name w:val="Table Normal"/>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9"/>
    <w:qFormat/>
    <w:rsid w:val="008317E8"/>
    <w:pPr>
      <w:numPr>
        <w:numId w:val="35"/>
      </w:numPr>
      <w:spacing w:before="120" w:after="120" w:line="276" w:lineRule="auto"/>
    </w:pPr>
  </w:style>
  <w:style w:type="character" w:customStyle="1" w:styleId="1f9">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a"/>
    <w:locked/>
    <w:rsid w:val="008317E8"/>
    <w:rPr>
      <w:rFonts w:cs="Times New Roman"/>
      <w:shd w:val="clear" w:color="auto" w:fill="FFFFFF"/>
    </w:rPr>
  </w:style>
  <w:style w:type="paragraph" w:customStyle="1" w:styleId="1fa">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b">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c">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0"/>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locked/>
    <w:rsid w:val="008317E8"/>
    <w:rPr>
      <w:rFonts w:ascii="Times New Roman" w:hAnsi="Times New Roman"/>
      <w:shd w:val="clear" w:color="auto" w:fill="FFFFFF"/>
    </w:rPr>
  </w:style>
  <w:style w:type="paragraph" w:customStyle="1" w:styleId="2f8">
    <w:name w:val="Основной текст (2)"/>
    <w:basedOn w:val="a3"/>
    <w:link w:val="2f7"/>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d">
    <w:name w:val="Заголовок Знак1"/>
    <w:basedOn w:val="a4"/>
    <w:uiPriority w:val="10"/>
    <w:rsid w:val="000A1B9B"/>
    <w:rPr>
      <w:rFonts w:asciiTheme="majorHAnsi" w:eastAsiaTheme="majorEastAsia" w:hAnsiTheme="majorHAnsi" w:cs="Times New Roman"/>
      <w:b/>
      <w:bCs/>
      <w:kern w:val="28"/>
      <w:sz w:val="32"/>
      <w:szCs w:val="32"/>
      <w:lang w:val="ru-RU" w:eastAsia="ru-RU"/>
    </w:rPr>
  </w:style>
  <w:style w:type="character" w:customStyle="1" w:styleId="1fe">
    <w:name w:val="Выделенная цитата Знак1"/>
    <w:basedOn w:val="a4"/>
    <w:uiPriority w:val="30"/>
    <w:rsid w:val="000A1B9B"/>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f">
    <w:name w:val="Подзаголовок Знак1"/>
    <w:basedOn w:val="a4"/>
    <w:uiPriority w:val="11"/>
    <w:rsid w:val="000A1B9B"/>
    <w:rPr>
      <w:rFonts w:asciiTheme="majorHAnsi" w:eastAsiaTheme="majorEastAsia" w:hAnsiTheme="majorHAnsi" w:cs="Times New Roman"/>
      <w:sz w:val="24"/>
      <w:szCs w:val="24"/>
      <w:lang w:val="ru-RU" w:eastAsia="ru-RU"/>
    </w:rPr>
  </w:style>
  <w:style w:type="numbering" w:customStyle="1" w:styleId="10">
    <w:name w:val="Стиль1"/>
    <w:rsid w:val="000A1B9B"/>
    <w:pPr>
      <w:numPr>
        <w:numId w:val="33"/>
      </w:numPr>
    </w:pPr>
  </w:style>
  <w:style w:type="character" w:customStyle="1" w:styleId="afffffb">
    <w:name w:val="Другое_"/>
    <w:basedOn w:val="a4"/>
    <w:link w:val="afffffc"/>
    <w:rsid w:val="00EF3D9C"/>
    <w:rPr>
      <w:rFonts w:ascii="Times New Roman" w:hAnsi="Times New Roman" w:cs="Times New Roman"/>
    </w:rPr>
  </w:style>
  <w:style w:type="paragraph" w:customStyle="1" w:styleId="afffffc">
    <w:name w:val="Другое"/>
    <w:basedOn w:val="a3"/>
    <w:link w:val="afffffb"/>
    <w:rsid w:val="00EF3D9C"/>
    <w:pPr>
      <w:widowControl w:val="0"/>
      <w:ind w:firstLine="400"/>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07292">
      <w:marLeft w:val="0"/>
      <w:marRight w:val="0"/>
      <w:marTop w:val="0"/>
      <w:marBottom w:val="0"/>
      <w:divBdr>
        <w:top w:val="none" w:sz="0" w:space="0" w:color="auto"/>
        <w:left w:val="none" w:sz="0" w:space="0" w:color="auto"/>
        <w:bottom w:val="none" w:sz="0" w:space="0" w:color="auto"/>
        <w:right w:val="none" w:sz="0" w:space="0" w:color="auto"/>
      </w:divBdr>
    </w:div>
    <w:div w:id="128207293">
      <w:marLeft w:val="0"/>
      <w:marRight w:val="0"/>
      <w:marTop w:val="0"/>
      <w:marBottom w:val="0"/>
      <w:divBdr>
        <w:top w:val="none" w:sz="0" w:space="0" w:color="auto"/>
        <w:left w:val="none" w:sz="0" w:space="0" w:color="auto"/>
        <w:bottom w:val="none" w:sz="0" w:space="0" w:color="auto"/>
        <w:right w:val="none" w:sz="0" w:space="0" w:color="auto"/>
      </w:divBdr>
    </w:div>
    <w:div w:id="128207294">
      <w:marLeft w:val="0"/>
      <w:marRight w:val="0"/>
      <w:marTop w:val="0"/>
      <w:marBottom w:val="0"/>
      <w:divBdr>
        <w:top w:val="none" w:sz="0" w:space="0" w:color="auto"/>
        <w:left w:val="none" w:sz="0" w:space="0" w:color="auto"/>
        <w:bottom w:val="none" w:sz="0" w:space="0" w:color="auto"/>
        <w:right w:val="none" w:sz="0" w:space="0" w:color="auto"/>
      </w:divBdr>
    </w:div>
    <w:div w:id="128207295">
      <w:marLeft w:val="0"/>
      <w:marRight w:val="0"/>
      <w:marTop w:val="0"/>
      <w:marBottom w:val="0"/>
      <w:divBdr>
        <w:top w:val="none" w:sz="0" w:space="0" w:color="auto"/>
        <w:left w:val="none" w:sz="0" w:space="0" w:color="auto"/>
        <w:bottom w:val="none" w:sz="0" w:space="0" w:color="auto"/>
        <w:right w:val="none" w:sz="0" w:space="0" w:color="auto"/>
      </w:divBdr>
    </w:div>
    <w:div w:id="128207296">
      <w:marLeft w:val="0"/>
      <w:marRight w:val="0"/>
      <w:marTop w:val="0"/>
      <w:marBottom w:val="0"/>
      <w:divBdr>
        <w:top w:val="none" w:sz="0" w:space="0" w:color="auto"/>
        <w:left w:val="none" w:sz="0" w:space="0" w:color="auto"/>
        <w:bottom w:val="none" w:sz="0" w:space="0" w:color="auto"/>
        <w:right w:val="none" w:sz="0" w:space="0" w:color="auto"/>
      </w:divBdr>
    </w:div>
    <w:div w:id="134709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264</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Учетная запись Майкрософт</cp:lastModifiedBy>
  <cp:revision>13</cp:revision>
  <cp:lastPrinted>2024-06-03T11:45:00Z</cp:lastPrinted>
  <dcterms:created xsi:type="dcterms:W3CDTF">2024-05-14T15:10:00Z</dcterms:created>
  <dcterms:modified xsi:type="dcterms:W3CDTF">2024-06-03T11:46:00Z</dcterms:modified>
</cp:coreProperties>
</file>