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53798E" w:rsidRDefault="0032090A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eastAsia="zh-CN"/>
              </w:rPr>
            </w:pPr>
            <w:r w:rsidRPr="0032090A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верстат копіювальний KEYLINE MESSENGER (BI1001 ELECTRO HORIZONTAL з акумулятором і зарядним пристроєм) (або еквівалент)</w:t>
            </w:r>
            <w:r w:rsidR="0053798E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1</w:t>
            </w:r>
            <w:r w:rsidR="0053798E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 шт.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32090A" w:rsidRPr="0032090A">
              <w:rPr>
                <w:b w:val="0"/>
                <w:sz w:val="24"/>
                <w:szCs w:val="24"/>
              </w:rPr>
              <w:t>42611000-2 Верстати спеціального призначення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2090A" w:rsidP="00762B07">
            <w:pPr>
              <w:rPr>
                <w:lang w:val="uk-UA"/>
              </w:rPr>
            </w:pPr>
            <w:r w:rsidRPr="0032090A">
              <w:rPr>
                <w:rFonts w:ascii="Arial" w:hAnsi="Arial" w:cs="Arial"/>
                <w:color w:val="242638"/>
                <w:shd w:val="clear" w:color="auto" w:fill="FFFFFF"/>
              </w:rPr>
              <w:t>UA-2025-06-18-001914-a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2090A" w:rsidP="009E03B7">
            <w:pPr>
              <w:jc w:val="both"/>
              <w:rPr>
                <w:lang w:val="uk-UA"/>
              </w:rPr>
            </w:pPr>
            <w:r w:rsidRPr="0032090A">
              <w:rPr>
                <w:bCs/>
                <w:lang w:val="uk-UA"/>
              </w:rPr>
              <w:t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СБ України у Дніпропетровській області, та виникла нагальна потреба в цьому технічному засобі, який буде застосовуватися виключно у рамках контррозвідувальної та оперативно-розшукової діяльності, спільно з наявними на озброєнні комплексами спеціальних технічних засобів та залучатиметься при проведенні негласних розшукових заходів насамперед за лінією боротьби з тероризмом.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2090A" w:rsidP="00E97208">
            <w:pPr>
              <w:jc w:val="both"/>
              <w:rPr>
                <w:lang w:val="uk-UA"/>
              </w:rPr>
            </w:pPr>
            <w:r w:rsidRPr="0032090A">
              <w:rPr>
                <w:bCs/>
                <w:lang w:val="uk-UA"/>
              </w:rPr>
              <w:t>за рахунок коштів  субвенції з місцевого бюджету державному бюджету на виконання заходів Комплексної Програми забезпечення громадського порядку та громадської безпеки на території  Затишнянської сільської ради на 2025 – 2027 р.р.», затвердженої рішенням Затишнянської сільської ради від 28 лютого 2025 року № 08-49/VIII, КЕКВ 3110,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5E0CB7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5E0CB7">
              <w:rPr>
                <w:b/>
                <w:bCs/>
                <w:i/>
                <w:lang w:val="uk-UA"/>
              </w:rPr>
              <w:t>500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  <w:r w:rsidR="00E97208">
              <w:rPr>
                <w:b/>
                <w:bCs/>
                <w:i/>
                <w:lang w:val="uk-UA"/>
              </w:rPr>
              <w:t xml:space="preserve">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B6" w:rsidRDefault="005E5BB6">
      <w:r>
        <w:separator/>
      </w:r>
    </w:p>
  </w:endnote>
  <w:endnote w:type="continuationSeparator" w:id="0">
    <w:p w:rsidR="005E5BB6" w:rsidRDefault="005E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B6" w:rsidRDefault="005E5BB6">
      <w:r>
        <w:separator/>
      </w:r>
    </w:p>
  </w:footnote>
  <w:footnote w:type="continuationSeparator" w:id="0">
    <w:p w:rsidR="005E5BB6" w:rsidRDefault="005E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93488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090A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3766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3798E"/>
    <w:rsid w:val="00560A27"/>
    <w:rsid w:val="00562F4E"/>
    <w:rsid w:val="005B32F8"/>
    <w:rsid w:val="005D2598"/>
    <w:rsid w:val="005E0CB7"/>
    <w:rsid w:val="005E31BE"/>
    <w:rsid w:val="005E5BB6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2F0E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225C"/>
    <w:rsid w:val="00EC49DE"/>
    <w:rsid w:val="00ED0D3C"/>
    <w:rsid w:val="00EE2FB9"/>
    <w:rsid w:val="00F1279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06FA8"/>
  <w15:chartTrackingRefBased/>
  <w15:docId w15:val="{4E48B9DB-55AB-4331-913D-2DF5DCC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2025-07-11T07:39:00Z</dcterms:created>
  <dcterms:modified xsi:type="dcterms:W3CDTF">2025-07-11T07:39:00Z</dcterms:modified>
</cp:coreProperties>
</file>